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2F" w:rsidRDefault="005C662F" w:rsidP="005C662F">
      <w:pPr>
        <w:jc w:val="center"/>
        <w:rPr>
          <w:rFonts w:ascii="Bookman Old Style" w:hAnsi="Bookman Old Style"/>
          <w:color w:val="000080"/>
        </w:rPr>
      </w:pPr>
      <w:r>
        <w:rPr>
          <w:noProof/>
          <w:color w:val="548DD4"/>
        </w:rPr>
        <w:drawing>
          <wp:inline distT="0" distB="0" distL="0" distR="0" wp14:anchorId="3A26E41F" wp14:editId="010A549A">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rsidR="005C662F" w:rsidRDefault="005C662F" w:rsidP="005C662F">
      <w:pPr>
        <w:rPr>
          <w:sz w:val="16"/>
          <w:szCs w:val="16"/>
        </w:rPr>
      </w:pPr>
    </w:p>
    <w:p w:rsidR="005C662F" w:rsidRPr="004C6240" w:rsidRDefault="005C662F" w:rsidP="005C662F">
      <w:pPr>
        <w:jc w:val="center"/>
        <w:rPr>
          <w:rFonts w:asciiTheme="minorHAnsi" w:hAnsiTheme="minorHAnsi" w:cs="Arial"/>
          <w:b/>
          <w:sz w:val="22"/>
          <w:szCs w:val="22"/>
        </w:rPr>
      </w:pPr>
      <w:r>
        <w:rPr>
          <w:rFonts w:asciiTheme="minorHAnsi" w:hAnsiTheme="minorHAnsi" w:cs="Arial"/>
          <w:b/>
          <w:sz w:val="22"/>
          <w:szCs w:val="22"/>
        </w:rPr>
        <w:t>FY202</w:t>
      </w:r>
      <w:r w:rsidR="000924C4">
        <w:rPr>
          <w:rFonts w:asciiTheme="minorHAnsi" w:hAnsiTheme="minorHAnsi" w:cs="Arial"/>
          <w:b/>
          <w:sz w:val="22"/>
          <w:szCs w:val="22"/>
        </w:rPr>
        <w:t>2</w:t>
      </w:r>
      <w:r w:rsidRPr="004C6240">
        <w:rPr>
          <w:rFonts w:asciiTheme="minorHAnsi" w:hAnsiTheme="minorHAnsi" w:cs="Arial"/>
          <w:b/>
          <w:sz w:val="22"/>
          <w:szCs w:val="22"/>
        </w:rPr>
        <w:t xml:space="preserve"> Continuum of Care </w:t>
      </w:r>
    </w:p>
    <w:p w:rsidR="005C662F" w:rsidRPr="004C6240" w:rsidRDefault="003D7A91" w:rsidP="005C662F">
      <w:pPr>
        <w:jc w:val="center"/>
        <w:rPr>
          <w:rFonts w:asciiTheme="minorHAnsi" w:hAnsiTheme="minorHAnsi" w:cs="Arial"/>
          <w:b/>
          <w:sz w:val="22"/>
          <w:szCs w:val="22"/>
        </w:rPr>
      </w:pPr>
      <w:r>
        <w:rPr>
          <w:rFonts w:asciiTheme="minorHAnsi" w:hAnsiTheme="minorHAnsi" w:cs="Arial"/>
          <w:b/>
          <w:sz w:val="22"/>
          <w:szCs w:val="22"/>
        </w:rPr>
        <w:t xml:space="preserve">New </w:t>
      </w:r>
      <w:r w:rsidR="005C662F">
        <w:rPr>
          <w:rFonts w:asciiTheme="minorHAnsi" w:hAnsiTheme="minorHAnsi" w:cs="Arial"/>
          <w:b/>
          <w:sz w:val="22"/>
          <w:szCs w:val="22"/>
        </w:rPr>
        <w:t>Project Application</w:t>
      </w:r>
    </w:p>
    <w:p w:rsidR="005C662F" w:rsidRPr="004C6240" w:rsidRDefault="005C662F" w:rsidP="005C662F">
      <w:pPr>
        <w:jc w:val="center"/>
        <w:rPr>
          <w:rFonts w:asciiTheme="minorHAnsi" w:hAnsiTheme="minorHAnsi" w:cs="Arial"/>
          <w:sz w:val="22"/>
          <w:szCs w:val="22"/>
        </w:rPr>
      </w:pPr>
    </w:p>
    <w:p w:rsidR="005C662F" w:rsidRPr="004C6240" w:rsidRDefault="005C662F" w:rsidP="005C662F">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Agencies that apply for funds through the CoC Funding Process must complete an application for each program in E-snaps.  In addition, agencies must complete this </w:t>
      </w:r>
      <w:r w:rsidR="00600DD5">
        <w:rPr>
          <w:rFonts w:asciiTheme="minorHAnsi" w:hAnsiTheme="minorHAnsi" w:cs="Arial"/>
          <w:sz w:val="22"/>
          <w:szCs w:val="22"/>
        </w:rPr>
        <w:t>New</w:t>
      </w:r>
      <w:r>
        <w:rPr>
          <w:rFonts w:asciiTheme="minorHAnsi" w:hAnsiTheme="minorHAnsi" w:cs="Arial"/>
          <w:sz w:val="22"/>
          <w:szCs w:val="22"/>
        </w:rPr>
        <w:t xml:space="preserve"> Project Application for each program.  </w:t>
      </w:r>
    </w:p>
    <w:p w:rsidR="005C662F" w:rsidRDefault="005C662F" w:rsidP="005C662F">
      <w:pPr>
        <w:rPr>
          <w:rFonts w:asciiTheme="minorHAnsi" w:hAnsiTheme="minorHAnsi" w:cs="Arial"/>
          <w:sz w:val="22"/>
          <w:szCs w:val="22"/>
        </w:rPr>
      </w:pPr>
    </w:p>
    <w:p w:rsidR="005C662F" w:rsidRPr="005E6312" w:rsidRDefault="005C662F" w:rsidP="005C662F">
      <w:pPr>
        <w:rPr>
          <w:b/>
          <w:color w:val="FF0000"/>
        </w:rPr>
      </w:pPr>
      <w:r>
        <w:rPr>
          <w:rFonts w:asciiTheme="minorHAnsi" w:hAnsiTheme="minorHAnsi" w:cs="Arial"/>
          <w:sz w:val="22"/>
          <w:szCs w:val="22"/>
        </w:rPr>
        <w:t xml:space="preserve">This form is due </w:t>
      </w:r>
      <w:r w:rsidRPr="000C1459">
        <w:rPr>
          <w:rFonts w:asciiTheme="minorHAnsi" w:hAnsiTheme="minorHAnsi" w:cs="Arial"/>
          <w:sz w:val="22"/>
          <w:szCs w:val="22"/>
        </w:rPr>
        <w:t xml:space="preserve">on </w:t>
      </w:r>
      <w:r w:rsidR="002B1BB1" w:rsidRPr="002B1BB1">
        <w:rPr>
          <w:rFonts w:asciiTheme="minorHAnsi" w:hAnsiTheme="minorHAnsi" w:cs="Arial"/>
          <w:b/>
          <w:sz w:val="22"/>
          <w:szCs w:val="22"/>
        </w:rPr>
        <w:t>Wednesday, August 31, 2022 at NOON</w:t>
      </w:r>
      <w:r w:rsidR="002B1BB1">
        <w:rPr>
          <w:rFonts w:asciiTheme="minorHAnsi" w:hAnsiTheme="minorHAnsi" w:cs="Arial"/>
          <w:b/>
          <w:sz w:val="22"/>
          <w:szCs w:val="22"/>
        </w:rPr>
        <w:t xml:space="preserve"> </w:t>
      </w:r>
      <w:r>
        <w:rPr>
          <w:rFonts w:asciiTheme="minorHAnsi" w:hAnsiTheme="minorHAnsi" w:cs="Arial"/>
          <w:sz w:val="22"/>
          <w:szCs w:val="22"/>
        </w:rPr>
        <w:t xml:space="preserve">by e-mail to </w:t>
      </w:r>
      <w:hyperlink r:id="rId8"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005E6312" w:rsidRPr="005E6312">
        <w:rPr>
          <w:rFonts w:asciiTheme="minorHAnsi" w:hAnsiTheme="minorHAnsi" w:cstheme="minorHAnsi"/>
          <w:b/>
          <w:color w:val="FF0000"/>
          <w:sz w:val="22"/>
          <w:szCs w:val="22"/>
        </w:rPr>
        <w:t>Late or incomplete applications will not be considered. Please do not wait until the deadline to submit the application. No grace period will be granted.</w:t>
      </w:r>
      <w:r w:rsidR="005E6312">
        <w:rPr>
          <w:b/>
          <w:color w:val="FF0000"/>
        </w:rPr>
        <w:t xml:space="preserve"> </w:t>
      </w:r>
      <w:r w:rsidRPr="004C6240">
        <w:rPr>
          <w:rFonts w:asciiTheme="minorHAnsi" w:hAnsiTheme="minorHAnsi" w:cs="Arial"/>
          <w:sz w:val="22"/>
          <w:szCs w:val="22"/>
        </w:rPr>
        <w:t xml:space="preserve">If you have questions, please contact </w:t>
      </w:r>
      <w:r>
        <w:rPr>
          <w:rFonts w:asciiTheme="minorHAnsi" w:hAnsiTheme="minorHAnsi" w:cs="Arial"/>
          <w:sz w:val="22"/>
          <w:szCs w:val="22"/>
        </w:rPr>
        <w:t>Torrie Kopp Mueller</w:t>
      </w:r>
      <w:r w:rsidRPr="004C6240">
        <w:rPr>
          <w:rFonts w:asciiTheme="minorHAnsi" w:hAnsiTheme="minorHAnsi" w:cs="Arial"/>
          <w:sz w:val="22"/>
          <w:szCs w:val="22"/>
        </w:rPr>
        <w:t xml:space="preserve">, </w:t>
      </w:r>
      <w:hyperlink r:id="rId9" w:history="1">
        <w:r w:rsidRPr="00F8290C">
          <w:rPr>
            <w:rStyle w:val="Hyperlink"/>
            <w:rFonts w:asciiTheme="minorHAnsi" w:hAnsiTheme="minorHAnsi" w:cs="Arial"/>
            <w:sz w:val="22"/>
            <w:szCs w:val="22"/>
          </w:rPr>
          <w:t>tkoppmueller@cityofmadison.com</w:t>
        </w:r>
      </w:hyperlink>
      <w:r>
        <w:rPr>
          <w:rFonts w:asciiTheme="minorHAnsi" w:hAnsiTheme="minorHAnsi" w:cs="Arial"/>
          <w:sz w:val="22"/>
          <w:szCs w:val="22"/>
        </w:rPr>
        <w:t xml:space="preserve"> </w:t>
      </w:r>
      <w:r w:rsidRPr="004C6240">
        <w:rPr>
          <w:rFonts w:asciiTheme="minorHAnsi" w:hAnsiTheme="minorHAnsi" w:cs="Arial"/>
          <w:sz w:val="22"/>
          <w:szCs w:val="22"/>
        </w:rPr>
        <w:t xml:space="preserve"> or call 608-</w:t>
      </w:r>
      <w:r>
        <w:rPr>
          <w:rFonts w:asciiTheme="minorHAnsi" w:hAnsiTheme="minorHAnsi" w:cs="Arial"/>
          <w:sz w:val="22"/>
          <w:szCs w:val="22"/>
        </w:rPr>
        <w:t>266-6254.</w:t>
      </w:r>
    </w:p>
    <w:p w:rsidR="005C662F" w:rsidRPr="004C6240" w:rsidRDefault="005C662F" w:rsidP="005C662F">
      <w:pPr>
        <w:ind w:left="270"/>
        <w:rPr>
          <w:rFonts w:asciiTheme="minorHAnsi" w:hAnsiTheme="minorHAnsi" w:cs="Arial"/>
          <w:sz w:val="22"/>
          <w:szCs w:val="22"/>
        </w:rPr>
      </w:pPr>
    </w:p>
    <w:p w:rsidR="005C662F" w:rsidRPr="00600DD5" w:rsidRDefault="005C662F" w:rsidP="00600DD5">
      <w:pPr>
        <w:rPr>
          <w:rFonts w:asciiTheme="minorHAnsi" w:hAnsiTheme="minorHAnsi" w:cs="Arial"/>
          <w:sz w:val="22"/>
          <w:szCs w:val="22"/>
        </w:rPr>
      </w:pPr>
      <w:r w:rsidRPr="004C6240">
        <w:rPr>
          <w:rFonts w:asciiTheme="minorHAnsi" w:hAnsiTheme="minorHAnsi" w:cs="Arial"/>
          <w:b/>
          <w:sz w:val="22"/>
          <w:szCs w:val="22"/>
        </w:rPr>
        <w:t xml:space="preserve">Agencies with more than one CoC project must submit a separate form for </w:t>
      </w:r>
      <w:r w:rsidRPr="004C6240">
        <w:rPr>
          <w:rFonts w:asciiTheme="minorHAnsi" w:hAnsiTheme="minorHAnsi" w:cs="Arial"/>
          <w:b/>
          <w:sz w:val="22"/>
          <w:szCs w:val="22"/>
          <w:u w:val="single"/>
        </w:rPr>
        <w:t>EACH</w:t>
      </w:r>
      <w:r w:rsidRPr="004C6240">
        <w:rPr>
          <w:rFonts w:asciiTheme="minorHAnsi" w:hAnsiTheme="minorHAnsi" w:cs="Arial"/>
          <w:b/>
          <w:sz w:val="22"/>
          <w:szCs w:val="22"/>
        </w:rPr>
        <w:t xml:space="preserve"> project.</w:t>
      </w:r>
      <w:r>
        <w:rPr>
          <w:rFonts w:asciiTheme="minorHAnsi" w:hAnsiTheme="minorHAnsi" w:cs="Arial"/>
          <w:b/>
          <w:sz w:val="22"/>
          <w:szCs w:val="22"/>
        </w:rPr>
        <w:t xml:space="preserve">  </w:t>
      </w:r>
      <w:r w:rsidRPr="004C6240">
        <w:rPr>
          <w:rFonts w:asciiTheme="minorHAnsi" w:hAnsiTheme="minorHAnsi" w:cs="Arial"/>
          <w:b/>
          <w:sz w:val="22"/>
          <w:szCs w:val="22"/>
        </w:rPr>
        <w:t xml:space="preserve"> </w:t>
      </w:r>
    </w:p>
    <w:p w:rsidR="00600DD5" w:rsidRPr="001827C9" w:rsidRDefault="00600DD5" w:rsidP="00600DD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834"/>
      </w:tblGrid>
      <w:tr w:rsidR="00600DD5" w:rsidRPr="001827C9" w:rsidTr="00F500A3">
        <w:trPr>
          <w:trHeight w:val="360"/>
        </w:trPr>
        <w:tc>
          <w:tcPr>
            <w:tcW w:w="2673" w:type="dxa"/>
            <w:tcBorders>
              <w:bottom w:val="single" w:sz="4" w:space="0" w:color="auto"/>
            </w:tcBorders>
            <w:shd w:val="clear" w:color="auto" w:fill="D9D9D9" w:themeFill="background1" w:themeFillShade="D9"/>
            <w:vAlign w:val="center"/>
          </w:tcPr>
          <w:p w:rsidR="00600DD5" w:rsidRPr="001827C9" w:rsidRDefault="00600DD5" w:rsidP="00F500A3">
            <w:pPr>
              <w:rPr>
                <w:rFonts w:asciiTheme="minorHAnsi" w:hAnsiTheme="minorHAnsi" w:cstheme="minorHAnsi"/>
                <w:bCs/>
                <w:sz w:val="22"/>
                <w:szCs w:val="22"/>
              </w:rPr>
            </w:pPr>
            <w:r w:rsidRPr="001827C9">
              <w:rPr>
                <w:rFonts w:asciiTheme="minorHAnsi" w:hAnsiTheme="minorHAnsi" w:cstheme="minorHAnsi"/>
                <w:bCs/>
                <w:sz w:val="22"/>
                <w:szCs w:val="22"/>
              </w:rPr>
              <w:t>A</w:t>
            </w:r>
            <w:r w:rsidRPr="001827C9">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rsidR="00600DD5" w:rsidRPr="001827C9" w:rsidRDefault="00600DD5" w:rsidP="00F500A3">
            <w:pPr>
              <w:jc w:val="center"/>
              <w:rPr>
                <w:rFonts w:asciiTheme="minorHAnsi" w:hAnsiTheme="minorHAnsi" w:cstheme="minorHAnsi"/>
                <w:b/>
                <w:sz w:val="22"/>
                <w:szCs w:val="22"/>
              </w:rPr>
            </w:pPr>
          </w:p>
        </w:tc>
      </w:tr>
      <w:tr w:rsidR="00600DD5" w:rsidRPr="001827C9" w:rsidTr="00F500A3">
        <w:trPr>
          <w:trHeight w:val="360"/>
        </w:trPr>
        <w:tc>
          <w:tcPr>
            <w:tcW w:w="2673" w:type="dxa"/>
            <w:tcBorders>
              <w:bottom w:val="single" w:sz="4" w:space="0" w:color="auto"/>
            </w:tcBorders>
            <w:shd w:val="clear" w:color="auto" w:fill="D9D9D9" w:themeFill="background1" w:themeFillShade="D9"/>
            <w:vAlign w:val="center"/>
          </w:tcPr>
          <w:p w:rsidR="00600DD5" w:rsidRPr="001827C9" w:rsidRDefault="00600DD5" w:rsidP="00F500A3">
            <w:pPr>
              <w:rPr>
                <w:rFonts w:asciiTheme="minorHAnsi" w:hAnsiTheme="minorHAnsi" w:cstheme="minorHAnsi"/>
                <w:bCs/>
                <w:sz w:val="22"/>
                <w:szCs w:val="22"/>
              </w:rPr>
            </w:pPr>
            <w:r w:rsidRPr="001827C9">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rsidR="00600DD5" w:rsidRPr="001827C9" w:rsidRDefault="00600DD5" w:rsidP="00F500A3">
            <w:pPr>
              <w:jc w:val="center"/>
              <w:rPr>
                <w:rFonts w:asciiTheme="minorHAnsi" w:hAnsiTheme="minorHAnsi" w:cstheme="minorHAnsi"/>
                <w:b/>
                <w:sz w:val="22"/>
                <w:szCs w:val="22"/>
              </w:rPr>
            </w:pPr>
          </w:p>
        </w:tc>
      </w:tr>
      <w:tr w:rsidR="00600DD5" w:rsidRPr="001827C9" w:rsidTr="00F500A3">
        <w:tc>
          <w:tcPr>
            <w:tcW w:w="2673" w:type="dxa"/>
            <w:tcBorders>
              <w:left w:val="nil"/>
              <w:bottom w:val="single" w:sz="4" w:space="0" w:color="auto"/>
              <w:right w:val="nil"/>
            </w:tcBorders>
            <w:shd w:val="clear" w:color="auto" w:fill="auto"/>
            <w:vAlign w:val="center"/>
          </w:tcPr>
          <w:p w:rsidR="00600DD5" w:rsidRPr="001827C9" w:rsidRDefault="00600DD5"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rsidR="00600DD5" w:rsidRPr="001827C9" w:rsidRDefault="00600DD5" w:rsidP="00F500A3">
            <w:pPr>
              <w:jc w:val="center"/>
              <w:rPr>
                <w:rFonts w:asciiTheme="minorHAnsi" w:hAnsiTheme="minorHAnsi" w:cstheme="minorHAnsi"/>
                <w:sz w:val="22"/>
                <w:szCs w:val="22"/>
              </w:rPr>
            </w:pPr>
          </w:p>
        </w:tc>
      </w:tr>
      <w:tr w:rsidR="00600DD5" w:rsidRPr="001827C9" w:rsidTr="00F500A3">
        <w:trPr>
          <w:trHeight w:val="360"/>
        </w:trPr>
        <w:tc>
          <w:tcPr>
            <w:tcW w:w="2673" w:type="dxa"/>
            <w:shd w:val="clear" w:color="auto" w:fill="D9D9D9" w:themeFill="background1" w:themeFillShade="D9"/>
            <w:vAlign w:val="center"/>
          </w:tcPr>
          <w:p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Project Contact Name</w:t>
            </w:r>
          </w:p>
        </w:tc>
        <w:tc>
          <w:tcPr>
            <w:tcW w:w="7497" w:type="dxa"/>
            <w:shd w:val="clear" w:color="auto" w:fill="auto"/>
            <w:vAlign w:val="center"/>
          </w:tcPr>
          <w:p w:rsidR="00600DD5" w:rsidRPr="001827C9" w:rsidRDefault="00600DD5" w:rsidP="00F500A3">
            <w:pPr>
              <w:jc w:val="center"/>
              <w:rPr>
                <w:rFonts w:asciiTheme="minorHAnsi" w:hAnsiTheme="minorHAnsi" w:cstheme="minorHAnsi"/>
                <w:sz w:val="22"/>
                <w:szCs w:val="22"/>
              </w:rPr>
            </w:pPr>
          </w:p>
        </w:tc>
      </w:tr>
      <w:tr w:rsidR="00600DD5" w:rsidRPr="001827C9" w:rsidTr="00F500A3">
        <w:trPr>
          <w:trHeight w:val="360"/>
        </w:trPr>
        <w:tc>
          <w:tcPr>
            <w:tcW w:w="2673" w:type="dxa"/>
            <w:shd w:val="clear" w:color="auto" w:fill="D9D9D9" w:themeFill="background1" w:themeFillShade="D9"/>
            <w:vAlign w:val="center"/>
          </w:tcPr>
          <w:p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Phone Number</w:t>
            </w:r>
          </w:p>
        </w:tc>
        <w:tc>
          <w:tcPr>
            <w:tcW w:w="7497" w:type="dxa"/>
            <w:shd w:val="clear" w:color="auto" w:fill="auto"/>
            <w:vAlign w:val="center"/>
          </w:tcPr>
          <w:p w:rsidR="00600DD5" w:rsidRPr="001827C9" w:rsidRDefault="00600DD5" w:rsidP="00F500A3">
            <w:pPr>
              <w:jc w:val="center"/>
              <w:rPr>
                <w:rFonts w:asciiTheme="minorHAnsi" w:hAnsiTheme="minorHAnsi" w:cstheme="minorHAnsi"/>
                <w:sz w:val="22"/>
                <w:szCs w:val="22"/>
              </w:rPr>
            </w:pPr>
          </w:p>
        </w:tc>
      </w:tr>
      <w:tr w:rsidR="00600DD5" w:rsidRPr="001827C9" w:rsidTr="00F500A3">
        <w:trPr>
          <w:trHeight w:val="360"/>
        </w:trPr>
        <w:tc>
          <w:tcPr>
            <w:tcW w:w="2673" w:type="dxa"/>
            <w:shd w:val="clear" w:color="auto" w:fill="D9D9D9" w:themeFill="background1" w:themeFillShade="D9"/>
            <w:vAlign w:val="center"/>
          </w:tcPr>
          <w:p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E-Mail</w:t>
            </w:r>
          </w:p>
        </w:tc>
        <w:tc>
          <w:tcPr>
            <w:tcW w:w="7497" w:type="dxa"/>
            <w:shd w:val="clear" w:color="auto" w:fill="auto"/>
            <w:vAlign w:val="center"/>
          </w:tcPr>
          <w:p w:rsidR="00600DD5" w:rsidRPr="001827C9" w:rsidRDefault="00600DD5" w:rsidP="00F500A3">
            <w:pPr>
              <w:jc w:val="center"/>
              <w:rPr>
                <w:rFonts w:asciiTheme="minorHAnsi" w:hAnsiTheme="minorHAnsi" w:cstheme="minorHAnsi"/>
                <w:sz w:val="22"/>
                <w:szCs w:val="22"/>
              </w:rPr>
            </w:pPr>
          </w:p>
        </w:tc>
      </w:tr>
    </w:tbl>
    <w:p w:rsidR="00600DD5" w:rsidRPr="001827C9" w:rsidRDefault="00600DD5" w:rsidP="00600DD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600DD5" w:rsidRPr="001827C9" w:rsidTr="00F500A3">
        <w:trPr>
          <w:trHeight w:val="360"/>
        </w:trPr>
        <w:tc>
          <w:tcPr>
            <w:tcW w:w="2673" w:type="dxa"/>
            <w:shd w:val="clear" w:color="auto" w:fill="D9D9D9" w:themeFill="background1" w:themeFillShade="D9"/>
            <w:vAlign w:val="center"/>
          </w:tcPr>
          <w:p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Funding Request</w:t>
            </w:r>
          </w:p>
        </w:tc>
        <w:tc>
          <w:tcPr>
            <w:tcW w:w="2452" w:type="dxa"/>
            <w:shd w:val="clear" w:color="auto" w:fill="auto"/>
            <w:vAlign w:val="center"/>
          </w:tcPr>
          <w:p w:rsidR="00600DD5" w:rsidRPr="001827C9" w:rsidRDefault="00600DD5" w:rsidP="00F500A3">
            <w:pPr>
              <w:rPr>
                <w:rFonts w:asciiTheme="minorHAnsi" w:hAnsiTheme="minorHAnsi" w:cstheme="minorHAnsi"/>
                <w:sz w:val="22"/>
                <w:szCs w:val="22"/>
              </w:rPr>
            </w:pPr>
          </w:p>
        </w:tc>
      </w:tr>
      <w:tr w:rsidR="00600DD5" w:rsidRPr="001827C9" w:rsidTr="00F500A3">
        <w:trPr>
          <w:trHeight w:val="360"/>
        </w:trPr>
        <w:tc>
          <w:tcPr>
            <w:tcW w:w="2673" w:type="dxa"/>
            <w:shd w:val="clear" w:color="auto" w:fill="D9D9D9" w:themeFill="background1" w:themeFillShade="D9"/>
            <w:vAlign w:val="center"/>
          </w:tcPr>
          <w:p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Proposed # of Units</w:t>
            </w:r>
          </w:p>
        </w:tc>
        <w:tc>
          <w:tcPr>
            <w:tcW w:w="2452" w:type="dxa"/>
            <w:shd w:val="clear" w:color="auto" w:fill="auto"/>
            <w:vAlign w:val="center"/>
          </w:tcPr>
          <w:p w:rsidR="00600DD5" w:rsidRPr="001827C9" w:rsidRDefault="00600DD5" w:rsidP="00F500A3">
            <w:pPr>
              <w:rPr>
                <w:rFonts w:asciiTheme="minorHAnsi" w:hAnsiTheme="minorHAnsi" w:cstheme="minorHAnsi"/>
                <w:sz w:val="22"/>
                <w:szCs w:val="22"/>
              </w:rPr>
            </w:pPr>
          </w:p>
        </w:tc>
      </w:tr>
      <w:tr w:rsidR="00600DD5" w:rsidRPr="001827C9" w:rsidTr="00F500A3">
        <w:trPr>
          <w:trHeight w:val="360"/>
        </w:trPr>
        <w:tc>
          <w:tcPr>
            <w:tcW w:w="2673" w:type="dxa"/>
            <w:shd w:val="clear" w:color="auto" w:fill="D9D9D9" w:themeFill="background1" w:themeFillShade="D9"/>
            <w:vAlign w:val="center"/>
          </w:tcPr>
          <w:p w:rsidR="00600DD5" w:rsidRPr="001827C9" w:rsidRDefault="00600DD5" w:rsidP="00F500A3">
            <w:pPr>
              <w:rPr>
                <w:rFonts w:asciiTheme="minorHAnsi" w:hAnsiTheme="minorHAnsi" w:cstheme="minorHAnsi"/>
                <w:sz w:val="22"/>
                <w:szCs w:val="22"/>
              </w:rPr>
            </w:pPr>
            <w:r w:rsidRPr="001827C9">
              <w:rPr>
                <w:rFonts w:asciiTheme="minorHAnsi" w:hAnsiTheme="minorHAnsi" w:cstheme="minorHAnsi"/>
                <w:sz w:val="22"/>
                <w:szCs w:val="22"/>
              </w:rPr>
              <w:t>Proposed # of Beds</w:t>
            </w:r>
          </w:p>
        </w:tc>
        <w:tc>
          <w:tcPr>
            <w:tcW w:w="2452" w:type="dxa"/>
            <w:shd w:val="clear" w:color="auto" w:fill="auto"/>
            <w:vAlign w:val="center"/>
          </w:tcPr>
          <w:p w:rsidR="00600DD5" w:rsidRPr="001827C9" w:rsidRDefault="00600DD5" w:rsidP="00F500A3">
            <w:pPr>
              <w:rPr>
                <w:rFonts w:asciiTheme="minorHAnsi" w:hAnsiTheme="minorHAnsi" w:cstheme="minorHAnsi"/>
                <w:sz w:val="22"/>
                <w:szCs w:val="22"/>
              </w:rPr>
            </w:pPr>
          </w:p>
        </w:tc>
      </w:tr>
      <w:tr w:rsidR="001B5B61" w:rsidRPr="001827C9" w:rsidTr="00F500A3">
        <w:trPr>
          <w:trHeight w:val="360"/>
        </w:trPr>
        <w:tc>
          <w:tcPr>
            <w:tcW w:w="2673" w:type="dxa"/>
            <w:shd w:val="clear" w:color="auto" w:fill="D9D9D9" w:themeFill="background1" w:themeFillShade="D9"/>
            <w:vAlign w:val="center"/>
          </w:tcPr>
          <w:p w:rsidR="001B5B61" w:rsidRPr="001827C9" w:rsidRDefault="001B5B61" w:rsidP="00F500A3">
            <w:pPr>
              <w:rPr>
                <w:rFonts w:asciiTheme="minorHAnsi" w:hAnsiTheme="minorHAnsi" w:cstheme="minorHAnsi"/>
                <w:sz w:val="22"/>
                <w:szCs w:val="22"/>
              </w:rPr>
            </w:pPr>
            <w:r>
              <w:rPr>
                <w:rFonts w:asciiTheme="minorHAnsi" w:hAnsiTheme="minorHAnsi" w:cstheme="minorHAnsi"/>
                <w:sz w:val="22"/>
                <w:szCs w:val="22"/>
              </w:rPr>
              <w:t xml:space="preserve">DV Bonus Project – Yes or No? </w:t>
            </w:r>
          </w:p>
        </w:tc>
        <w:tc>
          <w:tcPr>
            <w:tcW w:w="2452" w:type="dxa"/>
            <w:shd w:val="clear" w:color="auto" w:fill="auto"/>
            <w:vAlign w:val="center"/>
          </w:tcPr>
          <w:p w:rsidR="001B5B61" w:rsidRPr="001827C9" w:rsidRDefault="001B5B61" w:rsidP="00F500A3">
            <w:pPr>
              <w:rPr>
                <w:rFonts w:asciiTheme="minorHAnsi" w:hAnsiTheme="minorHAnsi" w:cstheme="minorHAnsi"/>
                <w:sz w:val="22"/>
                <w:szCs w:val="22"/>
              </w:rPr>
            </w:pPr>
          </w:p>
        </w:tc>
      </w:tr>
    </w:tbl>
    <w:p w:rsidR="00C94911" w:rsidRDefault="00C94911" w:rsidP="00C94911">
      <w:pPr>
        <w:rPr>
          <w:rFonts w:asciiTheme="minorHAnsi" w:hAnsiTheme="minorHAnsi"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318"/>
        <w:gridCol w:w="1022"/>
      </w:tblGrid>
      <w:tr w:rsidR="00155434" w:rsidRPr="00D40FEF" w:rsidTr="003A50D9">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hideMark/>
          </w:tcPr>
          <w:p w:rsidR="00155434" w:rsidRPr="00D40FEF" w:rsidRDefault="00155434" w:rsidP="003A50D9">
            <w:r w:rsidRPr="00D40FEF">
              <w:rPr>
                <w:rFonts w:ascii="Calibri" w:hAnsi="Calibri" w:cs="Calibri"/>
                <w:b/>
                <w:bCs/>
                <w:color w:val="000000"/>
              </w:rPr>
              <w:t>Threshold Criteria</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434" w:rsidRPr="00D40FEF" w:rsidRDefault="00155434" w:rsidP="003A50D9">
            <w:pPr>
              <w:textAlignment w:val="baseline"/>
              <w:rPr>
                <w:rFonts w:ascii="Calibri" w:hAnsi="Calibri" w:cs="Calibri"/>
                <w:color w:val="000000"/>
              </w:rPr>
            </w:pPr>
            <w:r>
              <w:rPr>
                <w:rFonts w:ascii="Calibri" w:hAnsi="Calibri" w:cs="Calibri"/>
                <w:color w:val="000000"/>
              </w:rPr>
              <w:t>Does the agency have any outstanding HUD monitoring findings? 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434" w:rsidRPr="00D40FEF" w:rsidRDefault="00155434" w:rsidP="003A50D9">
            <w:pPr>
              <w:rPr>
                <w:rFonts w:ascii="Calibri" w:hAnsi="Calibri" w:cs="Calibri"/>
                <w:color w:val="000000"/>
              </w:rPr>
            </w:pPr>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434" w:rsidRPr="00D40FEF" w:rsidRDefault="00155434" w:rsidP="003A50D9">
            <w:pPr>
              <w:textAlignment w:val="baseline"/>
              <w:rPr>
                <w:rFonts w:ascii="Calibri" w:hAnsi="Calibri" w:cs="Calibri"/>
                <w:color w:val="000000"/>
              </w:rPr>
            </w:pPr>
            <w:r>
              <w:rPr>
                <w:rFonts w:ascii="Calibri" w:hAnsi="Calibri" w:cs="Calibri"/>
                <w:color w:val="000000"/>
              </w:rPr>
              <w:t xml:space="preserve">Does the project comply with the </w:t>
            </w:r>
            <w:hyperlink r:id="rId10" w:history="1">
              <w:r w:rsidRPr="00D40FEF">
                <w:rPr>
                  <w:rStyle w:val="Hyperlink"/>
                  <w:rFonts w:ascii="Calibri" w:hAnsi="Calibri" w:cs="Calibri"/>
                </w:rPr>
                <w:t>CoC Interim Rule 24 CFR 578</w:t>
              </w:r>
            </w:hyperlink>
            <w:r>
              <w:rPr>
                <w:rFonts w:ascii="Calibri" w:hAnsi="Calibri" w:cs="Calibri"/>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434" w:rsidRPr="00D40FEF" w:rsidRDefault="00155434" w:rsidP="003A50D9">
            <w:pPr>
              <w:rPr>
                <w:rFonts w:ascii="Calibri" w:hAnsi="Calibri" w:cs="Calibri"/>
                <w:color w:val="000000"/>
              </w:rPr>
            </w:pPr>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lastRenderedPageBreak/>
              <w:t xml:space="preserve">Does the agency have a SAM.gov registration? </w:t>
            </w:r>
            <w:r w:rsidRPr="00D40FEF">
              <w:rPr>
                <w:rFonts w:ascii="Calibri" w:hAnsi="Calibri" w:cs="Calibri"/>
                <w:color w:val="000000"/>
              </w:rPr>
              <w:tab/>
            </w:r>
            <w:r w:rsidRPr="00D40FEF">
              <w:rPr>
                <w:rFonts w:ascii="Calibri" w:hAnsi="Calibri" w:cs="Calibri"/>
                <w:color w:val="000000"/>
              </w:rPr>
              <w:tab/>
            </w:r>
            <w:r w:rsidRPr="00D40FEF">
              <w:rPr>
                <w:rFonts w:ascii="Calibri" w:hAnsi="Calibri" w:cs="Calibri"/>
                <w:color w:val="00000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have an active Unique Entity ID (formerly DUNS Number)?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have any delinquent federal debt? </w:t>
            </w:r>
            <w:r>
              <w:rPr>
                <w:rFonts w:ascii="Calibri" w:hAnsi="Calibri" w:cs="Calibri"/>
                <w:color w:val="000000"/>
              </w:rPr>
              <w:t>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Is the agency under debarment or suspension from doing business with the Federal Government and/or on the Federal do not pay list? </w:t>
            </w:r>
            <w:r>
              <w:rPr>
                <w:rFonts w:ascii="Calibri" w:hAnsi="Calibri" w:cs="Calibri"/>
                <w:color w:val="000000"/>
              </w:rPr>
              <w:t>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currently enter data into the Homeless Management Information System (HMIS) or comparable database for Domestic Violence providers? </w:t>
            </w:r>
          </w:p>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If no, please explain how the agency plans on becoming an HMIS agency by the YHDP project implementation start date in the narrative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commit to participating in system-wide continuous quality improvement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 xml:space="preserve">Does the agency agree to participate in the </w:t>
            </w:r>
            <w:hyperlink r:id="rId11" w:history="1">
              <w:r w:rsidRPr="00D40FEF">
                <w:rPr>
                  <w:rFonts w:ascii="Calibri" w:hAnsi="Calibri" w:cs="Calibri"/>
                  <w:color w:val="1155CC"/>
                  <w:u w:val="single"/>
                </w:rPr>
                <w:t>Coordinated Entry System</w:t>
              </w:r>
            </w:hyperlink>
            <w:r w:rsidRPr="00D40FEF">
              <w:rPr>
                <w:rFonts w:ascii="Calibri" w:hAnsi="Calibri" w:cs="Calibri"/>
                <w:color w:val="000000"/>
              </w:rPr>
              <w:t xml:space="preserve"> and follow Coordinated Entry </w:t>
            </w:r>
            <w:hyperlink r:id="rId12" w:history="1">
              <w:r w:rsidRPr="00D40FEF">
                <w:rPr>
                  <w:rFonts w:ascii="Calibri" w:hAnsi="Calibri" w:cs="Calibri"/>
                  <w:color w:val="1155CC"/>
                  <w:u w:val="single"/>
                </w:rPr>
                <w:t>policies and procedures</w:t>
              </w:r>
            </w:hyperlink>
            <w:r w:rsidRPr="00D40FEF">
              <w:rPr>
                <w:rFonts w:ascii="Calibri"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r w:rsidR="00155434" w:rsidRPr="00D40FEF"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pPr>
              <w:textAlignment w:val="baseline"/>
              <w:rPr>
                <w:rFonts w:ascii="Calibri" w:hAnsi="Calibri" w:cs="Calibri"/>
                <w:color w:val="000000"/>
              </w:rPr>
            </w:pPr>
            <w:r w:rsidRPr="00D40FEF">
              <w:rPr>
                <w:rFonts w:ascii="Calibri" w:hAnsi="Calibri" w:cs="Calibri"/>
                <w:color w:val="000000"/>
              </w:rPr>
              <w:t>Does the agency agree to follow the</w:t>
            </w:r>
            <w:hyperlink r:id="rId13" w:history="1">
              <w:r w:rsidRPr="00D40FEF">
                <w:rPr>
                  <w:rFonts w:ascii="Calibri" w:hAnsi="Calibri" w:cs="Calibri"/>
                  <w:color w:val="1155CC"/>
                  <w:u w:val="single"/>
                </w:rPr>
                <w:t xml:space="preserve"> Dane CoC Written Standards</w:t>
              </w:r>
            </w:hyperlink>
            <w:r>
              <w:rPr>
                <w:rFonts w:ascii="Calibri" w:hAnsi="Calibri" w:cs="Calibri"/>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434" w:rsidRPr="00D40FEF" w:rsidRDefault="00155434" w:rsidP="003A50D9">
            <w:r w:rsidRPr="00D40FEF">
              <w:rPr>
                <w:rFonts w:ascii="Calibri" w:hAnsi="Calibri" w:cs="Calibri"/>
                <w:color w:val="000000"/>
              </w:rPr>
              <w:t>__Yes __No</w:t>
            </w:r>
          </w:p>
        </w:tc>
      </w:tr>
    </w:tbl>
    <w:p w:rsidR="00155434" w:rsidRPr="006C38F2" w:rsidRDefault="00155434" w:rsidP="00C94911">
      <w:pPr>
        <w:rPr>
          <w:rFonts w:asciiTheme="minorHAnsi" w:hAnsiTheme="minorHAnsi" w:cs="Arial"/>
          <w:sz w:val="22"/>
          <w:szCs w:val="22"/>
        </w:rPr>
      </w:pPr>
    </w:p>
    <w:p w:rsidR="00C94911" w:rsidRPr="004C6240" w:rsidRDefault="00C94911" w:rsidP="00C94911">
      <w:pPr>
        <w:rPr>
          <w:rFonts w:asciiTheme="minorHAnsi" w:hAnsiTheme="minorHAnsi" w:cs="Arial"/>
          <w:b/>
          <w:sz w:val="22"/>
          <w:szCs w:val="22"/>
          <w:u w:val="single"/>
        </w:rPr>
      </w:pPr>
      <w:r>
        <w:rPr>
          <w:rFonts w:asciiTheme="minorHAnsi" w:hAnsiTheme="minorHAnsi" w:cs="Arial"/>
          <w:b/>
          <w:sz w:val="22"/>
          <w:szCs w:val="22"/>
          <w:u w:val="single"/>
        </w:rPr>
        <w:t>P</w:t>
      </w:r>
      <w:r w:rsidRPr="004C6240">
        <w:rPr>
          <w:rFonts w:asciiTheme="minorHAnsi" w:hAnsiTheme="minorHAnsi" w:cs="Arial"/>
          <w:b/>
          <w:sz w:val="22"/>
          <w:szCs w:val="22"/>
          <w:u w:val="single"/>
        </w:rPr>
        <w:t>lease answer the following questions:</w:t>
      </w:r>
    </w:p>
    <w:p w:rsidR="00C94911" w:rsidRPr="003D7A91" w:rsidRDefault="00C94911" w:rsidP="003D7A91">
      <w:pPr>
        <w:rPr>
          <w:rFonts w:asciiTheme="minorHAnsi" w:hAnsiTheme="minorHAnsi" w:cs="Arial"/>
          <w:i/>
          <w:sz w:val="22"/>
          <w:szCs w:val="22"/>
        </w:rPr>
      </w:pPr>
      <w:r w:rsidRPr="003D7A91">
        <w:rPr>
          <w:rFonts w:asciiTheme="minorHAnsi" w:hAnsiTheme="minorHAnsi" w:cs="Arial"/>
          <w:i/>
          <w:sz w:val="22"/>
          <w:szCs w:val="22"/>
        </w:rPr>
        <w:t>Project applications will be reviewed based upon adherence to the HUD CoC Program Interim Rule</w:t>
      </w:r>
      <w:r w:rsidR="00047344">
        <w:rPr>
          <w:rFonts w:asciiTheme="minorHAnsi" w:hAnsiTheme="minorHAnsi" w:cs="Arial"/>
          <w:i/>
          <w:sz w:val="22"/>
          <w:szCs w:val="22"/>
        </w:rPr>
        <w:t xml:space="preserve"> and</w:t>
      </w:r>
      <w:r w:rsidRPr="003D7A91">
        <w:rPr>
          <w:rFonts w:asciiTheme="minorHAnsi" w:hAnsiTheme="minorHAnsi" w:cs="Arial"/>
          <w:i/>
          <w:sz w:val="22"/>
          <w:szCs w:val="22"/>
        </w:rPr>
        <w:t xml:space="preserve"> FY2</w:t>
      </w:r>
      <w:r w:rsidR="00047344">
        <w:rPr>
          <w:rFonts w:asciiTheme="minorHAnsi" w:hAnsiTheme="minorHAnsi" w:cs="Arial"/>
          <w:i/>
          <w:sz w:val="22"/>
          <w:szCs w:val="22"/>
        </w:rPr>
        <w:t>2</w:t>
      </w:r>
      <w:r w:rsidRPr="003D7A91">
        <w:rPr>
          <w:rFonts w:asciiTheme="minorHAnsi" w:hAnsiTheme="minorHAnsi" w:cs="Arial"/>
          <w:i/>
          <w:sz w:val="22"/>
          <w:szCs w:val="22"/>
        </w:rPr>
        <w:t xml:space="preserve"> CoC NOFA.</w:t>
      </w:r>
      <w:r w:rsidRPr="003D7A91">
        <w:rPr>
          <w:rFonts w:asciiTheme="minorHAnsi" w:hAnsiTheme="minorHAnsi" w:cs="Arial"/>
          <w:i/>
          <w:sz w:val="22"/>
          <w:szCs w:val="22"/>
        </w:rPr>
        <w:br/>
      </w:r>
    </w:p>
    <w:p w:rsidR="00C94911" w:rsidRPr="00600DD5" w:rsidRDefault="00C94911" w:rsidP="003D7A91">
      <w:pPr>
        <w:pStyle w:val="ListParagraph"/>
        <w:numPr>
          <w:ilvl w:val="0"/>
          <w:numId w:val="9"/>
        </w:numPr>
        <w:rPr>
          <w:rFonts w:asciiTheme="minorHAnsi" w:hAnsiTheme="minorHAnsi" w:cstheme="minorHAnsi"/>
          <w:sz w:val="22"/>
          <w:szCs w:val="22"/>
        </w:rPr>
      </w:pPr>
      <w:r w:rsidRPr="00600DD5">
        <w:rPr>
          <w:rFonts w:asciiTheme="minorHAnsi" w:hAnsiTheme="minorHAnsi" w:cstheme="minorHAnsi"/>
          <w:sz w:val="22"/>
          <w:szCs w:val="22"/>
        </w:rPr>
        <w:t>Please describe how your project takes proactive steps to minimize or overcome barriers to housing retention.</w:t>
      </w:r>
      <w:r w:rsidR="00600DD5" w:rsidRPr="00600DD5">
        <w:rPr>
          <w:rFonts w:asciiTheme="minorHAnsi" w:hAnsiTheme="minorHAnsi" w:cstheme="minorHAnsi"/>
          <w:sz w:val="22"/>
          <w:szCs w:val="22"/>
        </w:rPr>
        <w:t xml:space="preserve"> </w:t>
      </w:r>
    </w:p>
    <w:p w:rsidR="00C94911" w:rsidRPr="00600DD5" w:rsidRDefault="00C94911" w:rsidP="00C94911">
      <w:pPr>
        <w:rPr>
          <w:rFonts w:asciiTheme="minorHAnsi" w:hAnsiTheme="minorHAnsi" w:cstheme="minorHAnsi"/>
          <w:sz w:val="22"/>
          <w:szCs w:val="22"/>
        </w:rPr>
      </w:pPr>
    </w:p>
    <w:p w:rsidR="00C94911" w:rsidRDefault="00C94911" w:rsidP="003D7A91">
      <w:pPr>
        <w:pStyle w:val="ListParagraph"/>
        <w:numPr>
          <w:ilvl w:val="0"/>
          <w:numId w:val="9"/>
        </w:numPr>
        <w:rPr>
          <w:rFonts w:asciiTheme="minorHAnsi" w:hAnsiTheme="minorHAnsi" w:cstheme="minorHAnsi"/>
          <w:sz w:val="22"/>
          <w:szCs w:val="22"/>
        </w:rPr>
      </w:pPr>
      <w:r w:rsidRPr="003D7A91">
        <w:rPr>
          <w:rFonts w:asciiTheme="minorHAnsi" w:hAnsiTheme="minorHAnsi" w:cstheme="minorHAnsi"/>
          <w:sz w:val="22"/>
          <w:szCs w:val="22"/>
        </w:rPr>
        <w:t xml:space="preserve">Describe your agency’s </w:t>
      </w:r>
      <w:r w:rsidR="003D7A91" w:rsidRPr="003D7A91">
        <w:rPr>
          <w:rFonts w:asciiTheme="minorHAnsi" w:hAnsiTheme="minorHAnsi" w:cstheme="minorHAnsi"/>
          <w:sz w:val="22"/>
          <w:szCs w:val="22"/>
        </w:rPr>
        <w:t>overall quality improvement efforts</w:t>
      </w:r>
      <w:r w:rsidRPr="003D7A91">
        <w:rPr>
          <w:rFonts w:asciiTheme="minorHAnsi" w:hAnsiTheme="minorHAnsi" w:cstheme="minorHAnsi"/>
          <w:sz w:val="22"/>
          <w:szCs w:val="22"/>
        </w:rPr>
        <w:t xml:space="preserve">. Please include how you solicit and incorporate feedback from program participants. </w:t>
      </w:r>
    </w:p>
    <w:p w:rsidR="003D7A91" w:rsidRPr="003D7A91" w:rsidRDefault="003D7A91" w:rsidP="003D7A91">
      <w:pPr>
        <w:rPr>
          <w:rFonts w:asciiTheme="minorHAnsi" w:hAnsiTheme="minorHAnsi" w:cstheme="minorHAnsi"/>
          <w:sz w:val="22"/>
          <w:szCs w:val="22"/>
        </w:rPr>
      </w:pPr>
    </w:p>
    <w:p w:rsidR="00600DD5" w:rsidRPr="00600DD5" w:rsidRDefault="00600DD5" w:rsidP="003D7A91">
      <w:pPr>
        <w:pStyle w:val="ListParagraph"/>
        <w:numPr>
          <w:ilvl w:val="0"/>
          <w:numId w:val="9"/>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CoC-</w:t>
      </w:r>
      <w:r w:rsidRPr="00600DD5">
        <w:rPr>
          <w:rFonts w:asciiTheme="minorHAnsi" w:eastAsiaTheme="minorHAnsi" w:hAnsiTheme="minorHAnsi" w:cstheme="minorHAnsi"/>
          <w:sz w:val="22"/>
          <w:szCs w:val="22"/>
        </w:rPr>
        <w:t>funded projects are required to comply with the Dane County Written Standards. Describe how</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the agency plans on ensuring compliance with the Written Standards including plans for internal</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review and monitoring of project policies and practices.</w:t>
      </w:r>
    </w:p>
    <w:p w:rsidR="00600DD5" w:rsidRPr="00600DD5" w:rsidRDefault="00600DD5" w:rsidP="00600DD5">
      <w:pPr>
        <w:rPr>
          <w:rFonts w:asciiTheme="minorHAnsi" w:eastAsiaTheme="minorHAnsi" w:hAnsiTheme="minorHAnsi" w:cstheme="minorHAnsi"/>
          <w:sz w:val="22"/>
          <w:szCs w:val="22"/>
        </w:rPr>
      </w:pPr>
    </w:p>
    <w:p w:rsidR="00600DD5" w:rsidRPr="00600DD5" w:rsidRDefault="00600DD5" w:rsidP="003D7A91">
      <w:pPr>
        <w:pStyle w:val="ListParagraph"/>
        <w:numPr>
          <w:ilvl w:val="0"/>
          <w:numId w:val="9"/>
        </w:numPr>
        <w:autoSpaceDE w:val="0"/>
        <w:autoSpaceDN w:val="0"/>
        <w:adjustRightInd w:val="0"/>
        <w:rPr>
          <w:rFonts w:asciiTheme="minorHAnsi" w:eastAsiaTheme="minorHAnsi" w:hAnsiTheme="minorHAnsi" w:cstheme="minorHAnsi"/>
          <w:sz w:val="22"/>
          <w:szCs w:val="22"/>
        </w:rPr>
      </w:pPr>
      <w:r w:rsidRPr="00600DD5">
        <w:rPr>
          <w:rFonts w:asciiTheme="minorHAnsi" w:eastAsiaTheme="minorHAnsi" w:hAnsiTheme="minorHAnsi" w:cstheme="minorHAnsi"/>
          <w:sz w:val="22"/>
          <w:szCs w:val="22"/>
        </w:rPr>
        <w:t>All projects, including non-housing projects, must operate with the Housing First approach as described</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in the CoC Written Standards general requirements. Describe how the Housing First approach will be</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applied to the proposed project. Include aspects of project policies and staff training that can support</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the Housing First approach such as trauma-informed care and harm reduction.</w:t>
      </w:r>
    </w:p>
    <w:p w:rsidR="00600DD5" w:rsidRPr="00600DD5" w:rsidRDefault="00600DD5" w:rsidP="00600DD5">
      <w:pPr>
        <w:rPr>
          <w:rFonts w:asciiTheme="minorHAnsi" w:eastAsiaTheme="minorHAnsi" w:hAnsiTheme="minorHAnsi" w:cstheme="minorHAnsi"/>
          <w:sz w:val="22"/>
          <w:szCs w:val="22"/>
        </w:rPr>
      </w:pPr>
    </w:p>
    <w:p w:rsidR="00600DD5" w:rsidRDefault="00600DD5" w:rsidP="003D7A91">
      <w:pPr>
        <w:pStyle w:val="ListParagraph"/>
        <w:numPr>
          <w:ilvl w:val="0"/>
          <w:numId w:val="9"/>
        </w:numPr>
        <w:autoSpaceDE w:val="0"/>
        <w:autoSpaceDN w:val="0"/>
        <w:adjustRightInd w:val="0"/>
        <w:rPr>
          <w:rFonts w:asciiTheme="minorHAnsi" w:eastAsiaTheme="minorHAnsi" w:hAnsiTheme="minorHAnsi" w:cstheme="minorHAnsi"/>
          <w:sz w:val="22"/>
          <w:szCs w:val="22"/>
        </w:rPr>
      </w:pPr>
      <w:r w:rsidRPr="00600DD5">
        <w:rPr>
          <w:rFonts w:asciiTheme="minorHAnsi" w:eastAsiaTheme="minorHAnsi" w:hAnsiTheme="minorHAnsi" w:cstheme="minorHAnsi"/>
          <w:sz w:val="22"/>
          <w:szCs w:val="22"/>
        </w:rPr>
        <w:t>Describe key partnerships your agency has established that will help with implementation of this</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project.</w:t>
      </w:r>
      <w:r w:rsidR="002B1BB1">
        <w:rPr>
          <w:rFonts w:asciiTheme="minorHAnsi" w:eastAsiaTheme="minorHAnsi" w:hAnsiTheme="minorHAnsi" w:cstheme="minorHAnsi"/>
          <w:sz w:val="22"/>
          <w:szCs w:val="22"/>
        </w:rPr>
        <w:t xml:space="preserve"> </w:t>
      </w:r>
      <w:bookmarkStart w:id="0" w:name="_GoBack"/>
      <w:bookmarkEnd w:id="0"/>
    </w:p>
    <w:p w:rsidR="00EF50A5" w:rsidRPr="00EF50A5" w:rsidRDefault="00EF50A5" w:rsidP="00EF50A5">
      <w:pPr>
        <w:pStyle w:val="ListParagraph"/>
        <w:rPr>
          <w:rFonts w:asciiTheme="minorHAnsi" w:eastAsiaTheme="minorHAnsi" w:hAnsiTheme="minorHAnsi" w:cstheme="minorHAnsi"/>
          <w:sz w:val="22"/>
          <w:szCs w:val="22"/>
        </w:rPr>
      </w:pPr>
    </w:p>
    <w:p w:rsidR="00EF50A5" w:rsidRDefault="00EF50A5" w:rsidP="00EF50A5">
      <w:pPr>
        <w:pStyle w:val="ListParagraph"/>
        <w:numPr>
          <w:ilvl w:val="0"/>
          <w:numId w:val="9"/>
        </w:numPr>
        <w:rPr>
          <w:rFonts w:asciiTheme="minorHAnsi" w:hAnsiTheme="minorHAnsi" w:cstheme="minorHAnsi"/>
          <w:sz w:val="22"/>
          <w:szCs w:val="22"/>
        </w:rPr>
      </w:pPr>
      <w:r w:rsidRPr="009D5B66">
        <w:rPr>
          <w:rFonts w:asciiTheme="minorHAnsi" w:hAnsiTheme="minorHAnsi" w:cstheme="minorHAnsi"/>
          <w:sz w:val="22"/>
          <w:szCs w:val="22"/>
        </w:rPr>
        <w:t xml:space="preserve">What percentage of staff </w:t>
      </w:r>
      <w:r>
        <w:rPr>
          <w:rFonts w:asciiTheme="minorHAnsi" w:hAnsiTheme="minorHAnsi" w:cstheme="minorHAnsi"/>
          <w:sz w:val="22"/>
          <w:szCs w:val="22"/>
        </w:rPr>
        <w:t>members</w:t>
      </w:r>
      <w:r w:rsidRPr="009D5B66">
        <w:rPr>
          <w:rFonts w:asciiTheme="minorHAnsi" w:hAnsiTheme="minorHAnsi" w:cstheme="minorHAnsi"/>
          <w:sz w:val="22"/>
          <w:szCs w:val="22"/>
        </w:rPr>
        <w:t xml:space="preserve"> identify as Black, </w:t>
      </w:r>
      <w:r>
        <w:rPr>
          <w:rFonts w:asciiTheme="minorHAnsi" w:hAnsiTheme="minorHAnsi" w:cstheme="minorHAnsi"/>
          <w:sz w:val="22"/>
          <w:szCs w:val="22"/>
        </w:rPr>
        <w:t xml:space="preserve">Indigenous or a Person of Color? </w:t>
      </w:r>
    </w:p>
    <w:p w:rsidR="00EF50A5" w:rsidRPr="000D7B41" w:rsidRDefault="00EF50A5" w:rsidP="00EF50A5">
      <w:pPr>
        <w:pStyle w:val="ListParagraph"/>
        <w:rPr>
          <w:rFonts w:asciiTheme="minorHAnsi" w:hAnsiTheme="minorHAnsi" w:cstheme="minorHAnsi"/>
          <w:sz w:val="22"/>
          <w:szCs w:val="22"/>
        </w:rPr>
      </w:pPr>
    </w:p>
    <w:p w:rsidR="00EF50A5" w:rsidRDefault="00EF50A5" w:rsidP="00EF50A5">
      <w:pPr>
        <w:pStyle w:val="ListParagraph"/>
        <w:numPr>
          <w:ilvl w:val="0"/>
          <w:numId w:val="9"/>
        </w:numPr>
        <w:rPr>
          <w:rFonts w:asciiTheme="minorHAnsi" w:hAnsiTheme="minorHAnsi" w:cstheme="minorHAnsi"/>
          <w:sz w:val="22"/>
          <w:szCs w:val="22"/>
        </w:rPr>
      </w:pPr>
      <w:r w:rsidRPr="009D5B66">
        <w:rPr>
          <w:rFonts w:asciiTheme="minorHAnsi" w:hAnsiTheme="minorHAnsi" w:cstheme="minorHAnsi"/>
          <w:sz w:val="22"/>
          <w:szCs w:val="22"/>
        </w:rPr>
        <w:t>How does this program work against systematic racism and other structures of oppression</w:t>
      </w:r>
      <w:r>
        <w:rPr>
          <w:rFonts w:asciiTheme="minorHAnsi" w:hAnsiTheme="minorHAnsi" w:cstheme="minorHAnsi"/>
          <w:sz w:val="22"/>
          <w:szCs w:val="22"/>
        </w:rPr>
        <w:t xml:space="preserve">? </w:t>
      </w:r>
    </w:p>
    <w:p w:rsidR="00EF50A5" w:rsidRPr="000D7B41" w:rsidRDefault="00EF50A5" w:rsidP="00EF50A5">
      <w:pPr>
        <w:pStyle w:val="ListParagraph"/>
        <w:rPr>
          <w:rFonts w:asciiTheme="minorHAnsi" w:hAnsiTheme="minorHAnsi" w:cstheme="minorHAnsi"/>
          <w:sz w:val="22"/>
          <w:szCs w:val="22"/>
        </w:rPr>
      </w:pPr>
    </w:p>
    <w:p w:rsidR="00EF50A5" w:rsidRDefault="00EF50A5" w:rsidP="00EF50A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How will this program and it</w:t>
      </w:r>
      <w:r w:rsidRPr="009D5B66">
        <w:rPr>
          <w:rFonts w:asciiTheme="minorHAnsi" w:hAnsiTheme="minorHAnsi" w:cstheme="minorHAnsi"/>
          <w:sz w:val="22"/>
          <w:szCs w:val="22"/>
        </w:rPr>
        <w:t xml:space="preserve">s practices </w:t>
      </w:r>
      <w:r>
        <w:rPr>
          <w:rFonts w:asciiTheme="minorHAnsi" w:hAnsiTheme="minorHAnsi" w:cstheme="minorHAnsi"/>
          <w:sz w:val="22"/>
          <w:szCs w:val="22"/>
        </w:rPr>
        <w:t xml:space="preserve">be </w:t>
      </w:r>
      <w:r w:rsidRPr="009D5B66">
        <w:rPr>
          <w:rFonts w:asciiTheme="minorHAnsi" w:hAnsiTheme="minorHAnsi" w:cstheme="minorHAnsi"/>
          <w:sz w:val="22"/>
          <w:szCs w:val="22"/>
        </w:rPr>
        <w:t>culturally responsive to the population(s) who participate</w:t>
      </w:r>
      <w:r>
        <w:rPr>
          <w:rFonts w:asciiTheme="minorHAnsi" w:hAnsiTheme="minorHAnsi" w:cstheme="minorHAnsi"/>
          <w:sz w:val="22"/>
          <w:szCs w:val="22"/>
        </w:rPr>
        <w:t xml:space="preserve">? </w:t>
      </w:r>
    </w:p>
    <w:p w:rsidR="00E917FA" w:rsidRPr="002B1BB1" w:rsidRDefault="00E917FA" w:rsidP="002B1BB1">
      <w:pPr>
        <w:pStyle w:val="ListParagraph"/>
        <w:rPr>
          <w:rFonts w:asciiTheme="minorHAnsi" w:hAnsiTheme="minorHAnsi" w:cstheme="minorHAnsi"/>
          <w:sz w:val="22"/>
          <w:szCs w:val="22"/>
        </w:rPr>
      </w:pPr>
    </w:p>
    <w:p w:rsidR="00E917FA" w:rsidRPr="00C71CB3" w:rsidRDefault="00E917FA" w:rsidP="00C71CB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What barriers does your project have for participation by Black, Indigenous and Persons of Color (e.g. lack of outreach)? What steps has </w:t>
      </w:r>
      <w:r w:rsidR="00157CEB">
        <w:rPr>
          <w:rFonts w:asciiTheme="minorHAnsi" w:hAnsiTheme="minorHAnsi" w:cstheme="minorHAnsi"/>
          <w:sz w:val="22"/>
          <w:szCs w:val="22"/>
        </w:rPr>
        <w:t>y</w:t>
      </w:r>
      <w:r>
        <w:rPr>
          <w:rFonts w:asciiTheme="minorHAnsi" w:hAnsiTheme="minorHAnsi" w:cstheme="minorHAnsi"/>
          <w:sz w:val="22"/>
          <w:szCs w:val="22"/>
        </w:rPr>
        <w:t>o</w:t>
      </w:r>
      <w:r w:rsidR="00157CEB">
        <w:rPr>
          <w:rFonts w:asciiTheme="minorHAnsi" w:hAnsiTheme="minorHAnsi" w:cstheme="minorHAnsi"/>
          <w:sz w:val="22"/>
          <w:szCs w:val="22"/>
        </w:rPr>
        <w:t>u</w:t>
      </w:r>
      <w:r>
        <w:rPr>
          <w:rFonts w:asciiTheme="minorHAnsi" w:hAnsiTheme="minorHAnsi" w:cstheme="minorHAnsi"/>
          <w:sz w:val="22"/>
          <w:szCs w:val="22"/>
        </w:rPr>
        <w:t xml:space="preserve">r agency taken or will take to eliminate the identified barriers? </w:t>
      </w:r>
    </w:p>
    <w:p w:rsidR="00C94911" w:rsidRPr="00600DD5" w:rsidRDefault="00C94911" w:rsidP="00C94911">
      <w:pPr>
        <w:rPr>
          <w:rFonts w:asciiTheme="minorHAnsi" w:hAnsiTheme="minorHAnsi" w:cstheme="minorHAnsi"/>
          <w:sz w:val="22"/>
          <w:szCs w:val="22"/>
        </w:rPr>
      </w:pPr>
    </w:p>
    <w:p w:rsidR="00C94911" w:rsidRPr="002B1BB1" w:rsidRDefault="003D7A91" w:rsidP="003D7A91">
      <w:pPr>
        <w:pStyle w:val="ListParagraph"/>
        <w:numPr>
          <w:ilvl w:val="0"/>
          <w:numId w:val="9"/>
        </w:numPr>
        <w:rPr>
          <w:rFonts w:asciiTheme="minorHAnsi" w:hAnsiTheme="minorHAnsi" w:cstheme="minorHAnsi"/>
          <w:sz w:val="22"/>
          <w:szCs w:val="22"/>
        </w:rPr>
      </w:pPr>
      <w:r w:rsidRPr="003D7A91">
        <w:rPr>
          <w:rFonts w:asciiTheme="minorHAnsi" w:hAnsiTheme="minorHAnsi" w:cstheme="minorHAnsi"/>
          <w:sz w:val="22"/>
          <w:szCs w:val="22"/>
        </w:rPr>
        <w:t>H</w:t>
      </w:r>
      <w:r w:rsidRPr="003D7A91">
        <w:rPr>
          <w:rFonts w:asciiTheme="minorHAnsi" w:eastAsiaTheme="minorHAnsi" w:hAnsiTheme="minorHAnsi" w:cstheme="minorHAnsi"/>
          <w:sz w:val="22"/>
          <w:szCs w:val="22"/>
        </w:rPr>
        <w:t>ow did you hear about the CoC funding opportunity? (INFO ONLY)</w:t>
      </w:r>
    </w:p>
    <w:p w:rsidR="002B1BB1" w:rsidRDefault="002B1BB1" w:rsidP="002B1BB1">
      <w:pPr>
        <w:rPr>
          <w:rFonts w:asciiTheme="minorHAnsi" w:hAnsiTheme="minorHAnsi" w:cstheme="minorHAnsi"/>
          <w:sz w:val="22"/>
          <w:szCs w:val="22"/>
        </w:rPr>
      </w:pPr>
    </w:p>
    <w:p w:rsidR="002B1BB1" w:rsidRDefault="002B1BB1" w:rsidP="002B1BB1">
      <w:pPr>
        <w:rPr>
          <w:rFonts w:asciiTheme="minorHAnsi" w:hAnsiTheme="minorHAnsi" w:cstheme="minorHAnsi"/>
          <w:b/>
          <w:sz w:val="22"/>
          <w:szCs w:val="22"/>
        </w:rPr>
      </w:pPr>
      <w:r w:rsidRPr="002B1BB1">
        <w:rPr>
          <w:rFonts w:asciiTheme="minorHAnsi" w:hAnsiTheme="minorHAnsi" w:cstheme="minorHAnsi"/>
          <w:b/>
          <w:sz w:val="22"/>
          <w:szCs w:val="22"/>
        </w:rPr>
        <w:t>BONUS POINTS</w:t>
      </w:r>
    </w:p>
    <w:p w:rsidR="002B1BB1" w:rsidRPr="002B1BB1" w:rsidRDefault="002B1BB1" w:rsidP="002B1BB1">
      <w:pPr>
        <w:rPr>
          <w:rFonts w:asciiTheme="minorHAnsi" w:hAnsiTheme="minorHAnsi" w:cstheme="minorHAnsi"/>
          <w:sz w:val="22"/>
          <w:szCs w:val="22"/>
        </w:rPr>
      </w:pPr>
      <w:r>
        <w:rPr>
          <w:rFonts w:asciiTheme="minorHAnsi" w:hAnsiTheme="minorHAnsi" w:cstheme="minorHAnsi"/>
          <w:sz w:val="22"/>
          <w:szCs w:val="22"/>
        </w:rPr>
        <w:tab/>
        <w:t xml:space="preserve">PSH and RRH projects that leverage housing and healthcare resources are eligible for up to 20 bonus points. For housing leverage, please attach a letter of commitment, contract, or other formal documents that demonstrate the number of subsidies being provided or units being provided to support this project. For healthcare leverage, please attach a written commitment that includes the value of the commitment and dates the healthcare resources will be provided. </w:t>
      </w: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71CB3" w:rsidP="00C949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-389236</wp:posOffset>
                </wp:positionV>
                <wp:extent cx="6127844" cy="3104866"/>
                <wp:effectExtent l="0" t="0" r="25400" b="19685"/>
                <wp:wrapNone/>
                <wp:docPr id="2" name="Rectangle 2"/>
                <wp:cNvGraphicFramePr/>
                <a:graphic xmlns:a="http://schemas.openxmlformats.org/drawingml/2006/main">
                  <a:graphicData uri="http://schemas.microsoft.com/office/word/2010/wordprocessingShape">
                    <wps:wsp>
                      <wps:cNvSpPr/>
                      <wps:spPr>
                        <a:xfrm>
                          <a:off x="0" y="0"/>
                          <a:ext cx="6127844" cy="3104866"/>
                        </a:xfrm>
                        <a:prstGeom prst="rect">
                          <a:avLst/>
                        </a:prstGeom>
                      </wps:spPr>
                      <wps:style>
                        <a:lnRef idx="2">
                          <a:schemeClr val="accent6"/>
                        </a:lnRef>
                        <a:fillRef idx="1">
                          <a:schemeClr val="lt1"/>
                        </a:fillRef>
                        <a:effectRef idx="0">
                          <a:schemeClr val="accent6"/>
                        </a:effectRef>
                        <a:fontRef idx="minor">
                          <a:schemeClr val="dk1"/>
                        </a:fontRef>
                      </wps:style>
                      <wps:txbx>
                        <w:txbxContent>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Information for Bonus points, from p. 84-86 of the NOFO</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Housing Resources</w:t>
                            </w:r>
                            <w:r w:rsidRPr="00C71CB3">
                              <w:rPr>
                                <w:rFonts w:asciiTheme="minorHAnsi" w:hAnsiTheme="minorHAnsi" w:cstheme="minorHAnsi"/>
                                <w:sz w:val="20"/>
                                <w:szCs w:val="20"/>
                              </w:rPr>
                              <w:t xml:space="preserve">: CoCs will receive full points by demonstrating that they have applied for at least one PSH or RRH project that utilizes housing subsidies or subsidized housing units not funded through the CoC or ESG programs. The CoC must demonstrate that these housing units will: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-in the case of PSH, provide at least 25% of the units included in the project</w:t>
                            </w:r>
                          </w:p>
                          <w:p w:rsidR="00C71CB3" w:rsidRPr="00C71CB3" w:rsidRDefault="00C71CB3" w:rsidP="00C71CB3">
                            <w:pPr>
                              <w:ind w:left="720"/>
                              <w:rPr>
                                <w:rFonts w:asciiTheme="minorHAnsi" w:hAnsiTheme="minorHAnsi" w:cstheme="minorHAnsi"/>
                                <w:sz w:val="20"/>
                                <w:szCs w:val="20"/>
                              </w:rPr>
                            </w:pPr>
                            <w:r w:rsidRPr="00C71CB3">
                              <w:rPr>
                                <w:rFonts w:asciiTheme="minorHAnsi" w:hAnsiTheme="minorHAnsi" w:cstheme="minorHAnsi"/>
                                <w:sz w:val="20"/>
                                <w:szCs w:val="20"/>
                              </w:rPr>
                              <w:t>-in the case of RRH, serve at least 25% of the program participants anticipated to be served by the project</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 xml:space="preserve">Housing leverage can come from the following sources: private organizations, state or local government (including through the use of HOME funding provided through the American Rescue Plan), Public Housing Agencies (including through the use of a set aside or limited preference), faith-based organizations or federal programs other than the CoC or ESG programs.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Healthcare Resources</w:t>
                            </w:r>
                            <w:r w:rsidRPr="00C71CB3">
                              <w:rPr>
                                <w:rFonts w:asciiTheme="minorHAnsi" w:hAnsiTheme="minorHAnsi" w:cstheme="minorHAnsi"/>
                                <w:sz w:val="20"/>
                                <w:szCs w:val="20"/>
                              </w:rPr>
                              <w:t xml:space="preserve">: CoCs must demonstrate through a written commitment form a healthcare organizations that: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-in the case of a substance abuse treatment or recovery provider, it will provide access to treatment or recovery services for all program participants who qualify an choose those services; or</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 xml:space="preserve">-the value of assistance being provides is at least an amount that is equivalent to 25% of the funding being requested for the project, which will be covered by the healthcare organization.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Sources of healthcare resources include: direct contributions from a public or private health insurance provider to the project (e.g. Medicaid) and provision of health care services by a private or public organization (e.g., Ryan White funded organization) tailored to the program participants of the projects.</w:t>
                            </w:r>
                          </w:p>
                          <w:p w:rsidR="00C71CB3" w:rsidRDefault="00C71CB3" w:rsidP="00C71C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30.65pt;width:482.5pt;height:244.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r7aQIAAB4FAAAOAAAAZHJzL2Uyb0RvYy54bWysVN9P2zAQfp+0/8Hy+0iTdQUqUlSBmCYh&#10;QMDEs+vYbTTH553dJt1fv7OTBsb6NO3Fucv9/vydLy67xrCdQl+DLXl+MuFMWQlVbdcl//588+mM&#10;Mx+ErYQBq0q+V55fLj5+uGjdXBWwAVMpZJTE+nnrSr4Jwc2zzMuNaoQ/AacsGTVgIwKpuM4qFC1l&#10;b0xWTCazrAWsHIJU3tPf697IFym/1kqGe629CsyUnHoL6cR0ruKZLS7EfI3CbWo5tCH+oYtG1JaK&#10;jqmuRRBsi/VfqZpaInjQ4URCk4HWtVRpBpomn7yb5mkjnEqzEDjejTD5/5dW3u0ekNVVyQvOrGjo&#10;ih4JNGHXRrEiwtM6PyevJ/eAg+ZJjLN2Gpv4pSlYlyDdj5CqLjBJP2d5cXo2nXImyfY5n0zPZrOY&#10;NXsNd+jDVwUNi0LJkconKMXu1ofe9eBCcbGdvoEkhb1RsQdjH5WmOahkkaITg9SVQbYTdPdCSmXD&#10;oXTyjmG6NmYMzI8FmpAP/Q6+MUwlZo2Bk2OBf1YcI1JVsGEMbmoLeCxB9WOs3Psfpu9njuOHbtUN&#10;l7KCak83idBT3Dt5UxOet8KHB4HEaWI/7Wm4p0MbaEsOg8TZBvDXsf/Rn6hGVs5a2pGS+59bgYoz&#10;880SCc/z6TQuVVKmX04LUvCtZfXWYrfNFdBV5PQiOJnE6B/MQdQIzQut8zJWJZOwkmqXXAY8KFeh&#10;3116EKRaLpMbLZIT4dY+ORmTR4AjX567F4FuIFUgPt7BYZ/E/B23et8YaWG5DaDrRLwIcY/rAD0t&#10;YaLu8GDELX+rJ6/XZ23xGwAA//8DAFBLAwQUAAYACAAAACEAY7llVd0AAAAIAQAADwAAAGRycy9k&#10;b3ducmV2LnhtbEyPzU7DMBCE70i8g7VI3FonLbQ0ZFMVUOkVyt/VjZckIl5HsdOGt2c5wXF2VjPf&#10;5OvRtepIfWg8I6TTBBRx6W3DFcLry3ZyAypEw9a0ngnhmwKsi/Oz3GTWn/iZjvtYKQnhkBmEOsYu&#10;0zqUNTkTpr4jFu/T985EkX2lbW9OEu5aPUuShXamYWmoTUf3NZVf+8EhDOXj3UfVbZ4etnPeaZ+u&#10;3Nu7Rby8GDe3oCKN8e8ZfvEFHQphOviBbVAtggyJCJNFOgcl9mpxLZcDwtVsuQRd5Pr/gOIHAAD/&#10;/wMAUEsBAi0AFAAGAAgAAAAhALaDOJL+AAAA4QEAABMAAAAAAAAAAAAAAAAAAAAAAFtDb250ZW50&#10;X1R5cGVzXS54bWxQSwECLQAUAAYACAAAACEAOP0h/9YAAACUAQAACwAAAAAAAAAAAAAAAAAvAQAA&#10;X3JlbHMvLnJlbHNQSwECLQAUAAYACAAAACEAXee6+2kCAAAeBQAADgAAAAAAAAAAAAAAAAAuAgAA&#10;ZHJzL2Uyb0RvYy54bWxQSwECLQAUAAYACAAAACEAY7llVd0AAAAIAQAADwAAAAAAAAAAAAAAAADD&#10;BAAAZHJzL2Rvd25yZXYueG1sUEsFBgAAAAAEAAQA8wAAAM0FAAAAAA==&#10;" fillcolor="white [3201]" strokecolor="#70ad47 [3209]" strokeweight="1pt">
                <v:textbox>
                  <w:txbxContent>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Information for Bonus points, from p. 84-86 of the NOFO</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Housing Resources</w:t>
                      </w:r>
                      <w:r w:rsidRPr="00C71CB3">
                        <w:rPr>
                          <w:rFonts w:asciiTheme="minorHAnsi" w:hAnsiTheme="minorHAnsi" w:cstheme="minorHAnsi"/>
                          <w:sz w:val="20"/>
                          <w:szCs w:val="20"/>
                        </w:rPr>
                        <w:t xml:space="preserve">: CoCs will receive full points by demonstrating that they have applied for at least one PSH or RRH project that utilizes housing subsidies or subsidized housing units not funded through the CoC or ESG programs. The CoC must demonstrate that these housing units will: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-in the case of PSH, provide at least 25% of the units included in the project</w:t>
                      </w:r>
                    </w:p>
                    <w:p w:rsidR="00C71CB3" w:rsidRPr="00C71CB3" w:rsidRDefault="00C71CB3" w:rsidP="00C71CB3">
                      <w:pPr>
                        <w:ind w:left="720"/>
                        <w:rPr>
                          <w:rFonts w:asciiTheme="minorHAnsi" w:hAnsiTheme="minorHAnsi" w:cstheme="minorHAnsi"/>
                          <w:sz w:val="20"/>
                          <w:szCs w:val="20"/>
                        </w:rPr>
                      </w:pPr>
                      <w:r w:rsidRPr="00C71CB3">
                        <w:rPr>
                          <w:rFonts w:asciiTheme="minorHAnsi" w:hAnsiTheme="minorHAnsi" w:cstheme="minorHAnsi"/>
                          <w:sz w:val="20"/>
                          <w:szCs w:val="20"/>
                        </w:rPr>
                        <w:t>-in the case of RRH, serve at least 25% of the program participants anticipated to be served by the project</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 xml:space="preserve">Housing leverage can come from the following sources: private organizations, state or local government (including through the use of HOME funding provided through the American Rescue Plan), Public Housing Agencies (including through the use of a set aside or limited preference), faith-based organizations or federal programs other than the CoC or ESG programs.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Healthcare Resources</w:t>
                      </w:r>
                      <w:r w:rsidRPr="00C71CB3">
                        <w:rPr>
                          <w:rFonts w:asciiTheme="minorHAnsi" w:hAnsiTheme="minorHAnsi" w:cstheme="minorHAnsi"/>
                          <w:sz w:val="20"/>
                          <w:szCs w:val="20"/>
                        </w:rPr>
                        <w:t xml:space="preserve">: CoCs must demonstrate through a written commitment form a healthcare organizations that: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-in the case of a substance abuse treatment or recovery provider, it will provide access to treatment or recovery services for all program participants who qualify an choose those services; or</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ab/>
                        <w:t xml:space="preserve">-the value of assistance being provides is at least an amount that is equivalent to 25% of the funding being requested for the project, which will be covered by the healthcare organization. </w:t>
                      </w:r>
                    </w:p>
                    <w:p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Sources of healthcare resources include: direct contributions from a public or private health insurance provider to the project (e.g. Medicaid) and provision of health care services by a private or public organization (e.g., Ryan White funded organization) tailored to the program participants of the projects.</w:t>
                      </w:r>
                    </w:p>
                    <w:p w:rsidR="00C71CB3" w:rsidRDefault="00C71CB3" w:rsidP="00C71CB3">
                      <w:pPr>
                        <w:jc w:val="center"/>
                      </w:pPr>
                    </w:p>
                  </w:txbxContent>
                </v:textbox>
                <w10:wrap anchorx="margin"/>
              </v:rect>
            </w:pict>
          </mc:Fallback>
        </mc:AlternateContent>
      </w: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p w:rsidR="00C94911" w:rsidRPr="00600DD5" w:rsidRDefault="00C94911" w:rsidP="00C94911">
      <w:pPr>
        <w:rPr>
          <w:rFonts w:asciiTheme="minorHAnsi" w:hAnsiTheme="minorHAnsi" w:cstheme="minorHAnsi"/>
          <w:b/>
          <w:sz w:val="22"/>
          <w:szCs w:val="22"/>
        </w:rPr>
      </w:pPr>
    </w:p>
    <w:sectPr w:rsidR="00C94911" w:rsidRPr="00600DD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D0" w:rsidRDefault="009B72D0" w:rsidP="009B72D0">
      <w:r>
        <w:separator/>
      </w:r>
    </w:p>
  </w:endnote>
  <w:endnote w:type="continuationSeparator" w:id="0">
    <w:p w:rsidR="009B72D0" w:rsidRDefault="009B72D0" w:rsidP="009B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03" w:rsidRPr="008D38DC" w:rsidRDefault="00A93103" w:rsidP="00A93103">
    <w:pPr>
      <w:pStyle w:val="Footer"/>
      <w:jc w:val="right"/>
      <w:rPr>
        <w:sz w:val="18"/>
        <w:szCs w:val="18"/>
      </w:rPr>
    </w:pPr>
    <w:r w:rsidRPr="008D38DC">
      <w:rPr>
        <w:sz w:val="18"/>
        <w:szCs w:val="18"/>
      </w:rPr>
      <w:t xml:space="preserve">Approved by HSC Board of Directors; </w:t>
    </w:r>
    <w:r w:rsidR="00C71CB3">
      <w:rPr>
        <w:sz w:val="18"/>
        <w:szCs w:val="18"/>
      </w:rPr>
      <w:t>August 10, 2022</w:t>
    </w:r>
  </w:p>
  <w:p w:rsidR="009B72D0" w:rsidRPr="00A93103" w:rsidRDefault="009B72D0" w:rsidP="00A9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D0" w:rsidRDefault="009B72D0" w:rsidP="009B72D0">
      <w:r>
        <w:separator/>
      </w:r>
    </w:p>
  </w:footnote>
  <w:footnote w:type="continuationSeparator" w:id="0">
    <w:p w:rsidR="009B72D0" w:rsidRDefault="009B72D0" w:rsidP="009B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28"/>
    <w:multiLevelType w:val="hybridMultilevel"/>
    <w:tmpl w:val="C272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5441B"/>
    <w:multiLevelType w:val="hybridMultilevel"/>
    <w:tmpl w:val="B168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6D06"/>
    <w:multiLevelType w:val="hybridMultilevel"/>
    <w:tmpl w:val="99FC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4A"/>
    <w:multiLevelType w:val="hybridMultilevel"/>
    <w:tmpl w:val="13A6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773A2"/>
    <w:multiLevelType w:val="hybridMultilevel"/>
    <w:tmpl w:val="A3A6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721CD"/>
    <w:multiLevelType w:val="hybridMultilevel"/>
    <w:tmpl w:val="E474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02280"/>
    <w:multiLevelType w:val="hybridMultilevel"/>
    <w:tmpl w:val="9CEC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076A5"/>
    <w:multiLevelType w:val="hybridMultilevel"/>
    <w:tmpl w:val="67A6A4CE"/>
    <w:lvl w:ilvl="0" w:tplc="1846739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0"/>
  </w:num>
  <w:num w:numId="6">
    <w:abstractNumId w:val="7"/>
  </w:num>
  <w:num w:numId="7">
    <w:abstractNumId w:val="4"/>
  </w:num>
  <w:num w:numId="8">
    <w:abstractNumId w:val="8"/>
  </w:num>
  <w:num w:numId="9">
    <w:abstractNumId w:val="3"/>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2F"/>
    <w:rsid w:val="00047344"/>
    <w:rsid w:val="000924C4"/>
    <w:rsid w:val="00155434"/>
    <w:rsid w:val="00157CEB"/>
    <w:rsid w:val="001B5B61"/>
    <w:rsid w:val="002B1BB1"/>
    <w:rsid w:val="003D7A91"/>
    <w:rsid w:val="005A77B0"/>
    <w:rsid w:val="005C662F"/>
    <w:rsid w:val="005E6312"/>
    <w:rsid w:val="00600DD5"/>
    <w:rsid w:val="008C1355"/>
    <w:rsid w:val="008E6892"/>
    <w:rsid w:val="009B72D0"/>
    <w:rsid w:val="00A93103"/>
    <w:rsid w:val="00C06D50"/>
    <w:rsid w:val="00C71CB3"/>
    <w:rsid w:val="00C94911"/>
    <w:rsid w:val="00CF173A"/>
    <w:rsid w:val="00E917FA"/>
    <w:rsid w:val="00EF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FEA7E6B"/>
  <w15:chartTrackingRefBased/>
  <w15:docId w15:val="{C4B794BC-673C-463B-AB84-0ABBA94D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62F"/>
    <w:rPr>
      <w:color w:val="0000FF"/>
      <w:u w:val="single"/>
    </w:rPr>
  </w:style>
  <w:style w:type="paragraph" w:styleId="ListParagraph">
    <w:name w:val="List Paragraph"/>
    <w:basedOn w:val="Normal"/>
    <w:uiPriority w:val="34"/>
    <w:qFormat/>
    <w:rsid w:val="00C94911"/>
    <w:pPr>
      <w:ind w:left="720"/>
      <w:contextualSpacing/>
    </w:pPr>
  </w:style>
  <w:style w:type="paragraph" w:styleId="BodyText">
    <w:name w:val="Body Text"/>
    <w:basedOn w:val="Normal"/>
    <w:link w:val="BodyTextChar"/>
    <w:uiPriority w:val="99"/>
    <w:unhideWhenUsed/>
    <w:rsid w:val="00C94911"/>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C94911"/>
    <w:rPr>
      <w:rFonts w:ascii="Times" w:hAnsi="Times" w:cs="Times"/>
      <w:b/>
      <w:bCs/>
      <w:sz w:val="28"/>
      <w:szCs w:val="28"/>
      <w:lang w:eastAsia="ja-JP"/>
    </w:rPr>
  </w:style>
  <w:style w:type="character" w:styleId="IntenseEmphasis">
    <w:name w:val="Intense Emphasis"/>
    <w:aliases w:val="Word is being goofy"/>
    <w:basedOn w:val="DefaultParagraphFont"/>
    <w:uiPriority w:val="99"/>
    <w:qFormat/>
    <w:rsid w:val="00C94911"/>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 w:type="paragraph" w:styleId="Header">
    <w:name w:val="header"/>
    <w:basedOn w:val="Normal"/>
    <w:link w:val="HeaderChar"/>
    <w:uiPriority w:val="99"/>
    <w:unhideWhenUsed/>
    <w:rsid w:val="009B72D0"/>
    <w:pPr>
      <w:tabs>
        <w:tab w:val="center" w:pos="4680"/>
        <w:tab w:val="right" w:pos="9360"/>
      </w:tabs>
    </w:pPr>
  </w:style>
  <w:style w:type="character" w:customStyle="1" w:styleId="HeaderChar">
    <w:name w:val="Header Char"/>
    <w:basedOn w:val="DefaultParagraphFont"/>
    <w:link w:val="Header"/>
    <w:uiPriority w:val="99"/>
    <w:rsid w:val="009B7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2D0"/>
    <w:pPr>
      <w:tabs>
        <w:tab w:val="center" w:pos="4680"/>
        <w:tab w:val="right" w:pos="9360"/>
      </w:tabs>
    </w:pPr>
  </w:style>
  <w:style w:type="character" w:customStyle="1" w:styleId="FooterChar">
    <w:name w:val="Footer Char"/>
    <w:basedOn w:val="DefaultParagraphFont"/>
    <w:link w:val="Footer"/>
    <w:uiPriority w:val="99"/>
    <w:rsid w:val="009B72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cityofmadison.com" TargetMode="External"/><Relationship Id="rId13" Type="http://schemas.openxmlformats.org/officeDocument/2006/relationships/hyperlink" Target="https://www.danecountyhomeless.org/govern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anecountyhomeless.org/_files/ugd/73dee7_e4c12835ebd34575a0d566833b7ad27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ecountyhomeless.org/coordinated-ent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gov/ihcda/files/housing-urban-dev-24-cfr-part-578.pdf" TargetMode="External"/><Relationship Id="rId4" Type="http://schemas.openxmlformats.org/officeDocument/2006/relationships/webSettings" Target="webSettings.xml"/><Relationship Id="rId9" Type="http://schemas.openxmlformats.org/officeDocument/2006/relationships/hyperlink" Target="mailto:tkoppmueller@cityofmadis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9</cp:revision>
  <cp:lastPrinted>2022-08-01T20:15:00Z</cp:lastPrinted>
  <dcterms:created xsi:type="dcterms:W3CDTF">2022-07-22T15:47:00Z</dcterms:created>
  <dcterms:modified xsi:type="dcterms:W3CDTF">2022-08-10T17:18:00Z</dcterms:modified>
</cp:coreProperties>
</file>