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E9A9" w14:textId="62AF0E3C" w:rsidR="009C36F1" w:rsidRPr="00F63536" w:rsidRDefault="00881713" w:rsidP="00890539">
      <w:pPr>
        <w:spacing w:line="240" w:lineRule="auto"/>
        <w:jc w:val="center"/>
        <w:rPr>
          <w:rFonts w:ascii="Verdana" w:hAnsi="Verdana"/>
          <w:b/>
          <w:bCs/>
          <w:sz w:val="32"/>
        </w:rPr>
      </w:pPr>
      <w:r>
        <w:rPr>
          <w:rFonts w:ascii="Verdana" w:hAnsi="Verdana"/>
          <w:b/>
          <w:bCs/>
          <w:sz w:val="32"/>
        </w:rPr>
        <w:t>EHH</w:t>
      </w:r>
      <w:r w:rsidRPr="00F63536">
        <w:rPr>
          <w:rFonts w:ascii="Verdana" w:hAnsi="Verdana"/>
          <w:b/>
          <w:bCs/>
          <w:sz w:val="32"/>
        </w:rPr>
        <w:t xml:space="preserve"> </w:t>
      </w:r>
      <w:r w:rsidR="00CC5FB4" w:rsidRPr="00F63536">
        <w:rPr>
          <w:rFonts w:ascii="Verdana" w:hAnsi="Verdana"/>
          <w:b/>
          <w:bCs/>
          <w:sz w:val="32"/>
        </w:rPr>
        <w:t>Certification</w:t>
      </w:r>
    </w:p>
    <w:p w14:paraId="3A6DD8E8" w14:textId="49E8032E" w:rsidR="009C36F1" w:rsidRDefault="009C36F1" w:rsidP="009B3608">
      <w:pPr>
        <w:spacing w:line="240" w:lineRule="auto"/>
        <w:rPr>
          <w:rFonts w:ascii="Arial" w:hAnsi="Arial" w:cs="Arial"/>
          <w:sz w:val="20"/>
        </w:rPr>
      </w:pPr>
      <w:r w:rsidRPr="00D86568">
        <w:rPr>
          <w:rFonts w:ascii="Arial" w:hAnsi="Arial" w:cs="Arial"/>
          <w:sz w:val="20"/>
        </w:rPr>
        <w:t>In accordance with the applicable statutes</w:t>
      </w:r>
      <w:r w:rsidR="00381014" w:rsidRPr="00D86568">
        <w:rPr>
          <w:rFonts w:ascii="Arial" w:hAnsi="Arial" w:cs="Arial"/>
          <w:sz w:val="20"/>
        </w:rPr>
        <w:t xml:space="preserve"> </w:t>
      </w:r>
      <w:r w:rsidRPr="00D86568">
        <w:rPr>
          <w:rFonts w:ascii="Arial" w:hAnsi="Arial" w:cs="Arial"/>
          <w:sz w:val="20"/>
        </w:rPr>
        <w:t>and regulations governing the consolidated plan</w:t>
      </w:r>
      <w:r w:rsidR="0046508E" w:rsidRPr="00D86568">
        <w:rPr>
          <w:rFonts w:ascii="Arial" w:hAnsi="Arial" w:cs="Arial"/>
          <w:sz w:val="20"/>
        </w:rPr>
        <w:t xml:space="preserve">, </w:t>
      </w:r>
      <w:r w:rsidR="00381014" w:rsidRPr="00D86568">
        <w:rPr>
          <w:rFonts w:ascii="Arial" w:hAnsi="Arial" w:cs="Arial"/>
          <w:sz w:val="20"/>
        </w:rPr>
        <w:t>Emergency Solutions Grant</w:t>
      </w:r>
      <w:r w:rsidR="0046508E" w:rsidRPr="00D86568">
        <w:rPr>
          <w:rFonts w:ascii="Arial" w:hAnsi="Arial" w:cs="Arial"/>
          <w:sz w:val="20"/>
        </w:rPr>
        <w:t xml:space="preserve"> (ESG)</w:t>
      </w:r>
      <w:r w:rsidR="00506EE2">
        <w:rPr>
          <w:rFonts w:ascii="Arial" w:hAnsi="Arial" w:cs="Arial"/>
          <w:sz w:val="20"/>
        </w:rPr>
        <w:t xml:space="preserve"> and </w:t>
      </w:r>
      <w:r w:rsidR="0046508E" w:rsidRPr="00D86568">
        <w:rPr>
          <w:rFonts w:ascii="Arial" w:hAnsi="Arial" w:cs="Arial"/>
          <w:sz w:val="20"/>
        </w:rPr>
        <w:t>Homelessness Prevention Program (HPP)</w:t>
      </w:r>
      <w:r w:rsidR="00506EE2">
        <w:rPr>
          <w:rFonts w:ascii="Arial" w:hAnsi="Arial" w:cs="Arial"/>
          <w:sz w:val="20"/>
        </w:rPr>
        <w:t xml:space="preserve"> </w:t>
      </w:r>
      <w:r w:rsidRPr="00D86568">
        <w:rPr>
          <w:rFonts w:ascii="Arial" w:hAnsi="Arial" w:cs="Arial"/>
          <w:sz w:val="20"/>
        </w:rPr>
        <w:t xml:space="preserve">the </w:t>
      </w:r>
      <w:r w:rsidR="008310BD">
        <w:rPr>
          <w:rFonts w:ascii="Arial" w:hAnsi="Arial" w:cs="Arial"/>
          <w:sz w:val="20"/>
        </w:rPr>
        <w:t>applicant</w:t>
      </w:r>
      <w:r w:rsidRPr="00D86568">
        <w:rPr>
          <w:rFonts w:ascii="Arial" w:hAnsi="Arial" w:cs="Arial"/>
          <w:sz w:val="20"/>
        </w:rPr>
        <w:t xml:space="preserve"> certifies </w:t>
      </w:r>
      <w:r w:rsidR="0005571E" w:rsidRPr="00D86568">
        <w:rPr>
          <w:rFonts w:ascii="Arial" w:hAnsi="Arial" w:cs="Arial"/>
          <w:sz w:val="20"/>
        </w:rPr>
        <w:t>the following</w:t>
      </w:r>
      <w:r w:rsidRPr="00D86568">
        <w:rPr>
          <w:rFonts w:ascii="Arial" w:hAnsi="Arial" w:cs="Arial"/>
          <w:sz w:val="20"/>
        </w:rPr>
        <w:t>:</w:t>
      </w:r>
    </w:p>
    <w:tbl>
      <w:tblPr>
        <w:tblStyle w:val="TableGrid"/>
        <w:tblW w:w="0" w:type="auto"/>
        <w:tblLook w:val="04A0" w:firstRow="1" w:lastRow="0" w:firstColumn="1" w:lastColumn="0" w:noHBand="0" w:noVBand="1"/>
      </w:tblPr>
      <w:tblGrid>
        <w:gridCol w:w="9947"/>
        <w:gridCol w:w="843"/>
      </w:tblGrid>
      <w:tr w:rsidR="0046508E" w14:paraId="058D49CD" w14:textId="77777777" w:rsidTr="007A5144">
        <w:tc>
          <w:tcPr>
            <w:tcW w:w="10173" w:type="dxa"/>
            <w:shd w:val="clear" w:color="auto" w:fill="D9D9D9" w:themeFill="background1" w:themeFillShade="D9"/>
            <w:vAlign w:val="center"/>
          </w:tcPr>
          <w:p w14:paraId="7EE5705C" w14:textId="7220A52F" w:rsidR="0046508E" w:rsidRPr="004E2D98" w:rsidRDefault="0046508E" w:rsidP="007A5144">
            <w:pPr>
              <w:jc w:val="center"/>
              <w:rPr>
                <w:rFonts w:ascii="Arial" w:hAnsi="Arial" w:cs="Arial"/>
                <w:b/>
                <w:bCs/>
                <w:sz w:val="24"/>
                <w:szCs w:val="24"/>
              </w:rPr>
            </w:pPr>
            <w:r w:rsidRPr="004E2D98">
              <w:rPr>
                <w:rFonts w:ascii="Arial" w:hAnsi="Arial" w:cs="Arial"/>
                <w:b/>
                <w:bCs/>
                <w:sz w:val="24"/>
                <w:szCs w:val="24"/>
              </w:rPr>
              <w:t>ESG</w:t>
            </w:r>
            <w:r w:rsidR="00506EE2">
              <w:rPr>
                <w:rFonts w:ascii="Arial" w:hAnsi="Arial" w:cs="Arial"/>
                <w:b/>
                <w:bCs/>
                <w:sz w:val="24"/>
                <w:szCs w:val="24"/>
              </w:rPr>
              <w:t xml:space="preserve"> and </w:t>
            </w:r>
            <w:r w:rsidRPr="004E2D98">
              <w:rPr>
                <w:rFonts w:ascii="Arial" w:hAnsi="Arial" w:cs="Arial"/>
                <w:b/>
                <w:bCs/>
                <w:sz w:val="24"/>
                <w:szCs w:val="24"/>
              </w:rPr>
              <w:t>HPP</w:t>
            </w:r>
            <w:r w:rsidR="00506EE2">
              <w:rPr>
                <w:rFonts w:ascii="Arial" w:hAnsi="Arial" w:cs="Arial"/>
                <w:b/>
                <w:bCs/>
                <w:sz w:val="24"/>
                <w:szCs w:val="24"/>
              </w:rPr>
              <w:t xml:space="preserve"> </w:t>
            </w:r>
            <w:r w:rsidRPr="004E2D98">
              <w:rPr>
                <w:rFonts w:ascii="Arial" w:hAnsi="Arial" w:cs="Arial"/>
                <w:b/>
                <w:bCs/>
                <w:sz w:val="24"/>
                <w:szCs w:val="24"/>
              </w:rPr>
              <w:t>Certifications</w:t>
            </w:r>
          </w:p>
        </w:tc>
        <w:tc>
          <w:tcPr>
            <w:tcW w:w="843" w:type="dxa"/>
            <w:shd w:val="clear" w:color="auto" w:fill="D9D9D9" w:themeFill="background1" w:themeFillShade="D9"/>
            <w:vAlign w:val="center"/>
          </w:tcPr>
          <w:p w14:paraId="43148709" w14:textId="36F69B71" w:rsidR="0046508E" w:rsidRPr="004E2D98" w:rsidRDefault="004E2D98" w:rsidP="007A5144">
            <w:pPr>
              <w:jc w:val="center"/>
              <w:rPr>
                <w:rFonts w:ascii="Arial" w:hAnsi="Arial" w:cs="Arial"/>
                <w:b/>
                <w:bCs/>
                <w:sz w:val="24"/>
                <w:szCs w:val="24"/>
              </w:rPr>
            </w:pPr>
            <w:r w:rsidRPr="004E2D98">
              <w:rPr>
                <w:rFonts w:ascii="Arial" w:hAnsi="Arial" w:cs="Arial"/>
                <w:b/>
                <w:bCs/>
                <w:sz w:val="24"/>
                <w:szCs w:val="24"/>
              </w:rPr>
              <w:t>Initial</w:t>
            </w:r>
          </w:p>
        </w:tc>
      </w:tr>
      <w:tr w:rsidR="00881713" w14:paraId="6DAD16E3" w14:textId="77777777" w:rsidTr="007A5144">
        <w:trPr>
          <w:trHeight w:val="1008"/>
        </w:trPr>
        <w:tc>
          <w:tcPr>
            <w:tcW w:w="10173" w:type="dxa"/>
            <w:vAlign w:val="center"/>
          </w:tcPr>
          <w:p w14:paraId="22EEE5F2" w14:textId="22476013" w:rsidR="00881713" w:rsidRDefault="00881713" w:rsidP="007A5144">
            <w:pPr>
              <w:rPr>
                <w:rFonts w:ascii="Arial" w:hAnsi="Arial" w:cs="Arial"/>
                <w:sz w:val="20"/>
              </w:rPr>
            </w:pPr>
            <w:r w:rsidRPr="00890539">
              <w:rPr>
                <w:rFonts w:ascii="Arial" w:hAnsi="Arial" w:cs="Arial"/>
                <w:b/>
                <w:bCs/>
                <w:sz w:val="20"/>
              </w:rPr>
              <w:t xml:space="preserve">Affirmatively Further Fair Housing </w:t>
            </w:r>
            <w:r>
              <w:rPr>
                <w:rFonts w:ascii="Arial" w:hAnsi="Arial" w:cs="Arial"/>
                <w:b/>
                <w:bCs/>
                <w:sz w:val="20"/>
              </w:rPr>
              <w:t xml:space="preserve">– </w:t>
            </w:r>
            <w:r w:rsidRPr="00890539">
              <w:rPr>
                <w:rFonts w:ascii="Arial" w:hAnsi="Arial" w:cs="Arial"/>
                <w:sz w:val="20"/>
              </w:rPr>
              <w:t>It will affirmatively further fair housing, which means it will conduct an analysis of impediments to fair housing choice within the entity, take appropriate actions to overcome the effects of any impediments identified through that analysis, and maintain records reflecting that analysis and actions in this regard.</w:t>
            </w:r>
          </w:p>
        </w:tc>
        <w:tc>
          <w:tcPr>
            <w:tcW w:w="843" w:type="dxa"/>
            <w:vAlign w:val="center"/>
          </w:tcPr>
          <w:p w14:paraId="41F84CF4" w14:textId="77777777" w:rsidR="00881713" w:rsidRDefault="00881713" w:rsidP="007A5144">
            <w:pPr>
              <w:rPr>
                <w:rFonts w:ascii="Arial" w:hAnsi="Arial" w:cs="Arial"/>
                <w:sz w:val="20"/>
              </w:rPr>
            </w:pPr>
          </w:p>
        </w:tc>
      </w:tr>
      <w:tr w:rsidR="00881713" w14:paraId="0CAED598" w14:textId="77777777" w:rsidTr="007A5144">
        <w:trPr>
          <w:trHeight w:val="1296"/>
        </w:trPr>
        <w:tc>
          <w:tcPr>
            <w:tcW w:w="10173" w:type="dxa"/>
            <w:vAlign w:val="center"/>
          </w:tcPr>
          <w:p w14:paraId="154AF048" w14:textId="273D7CDD" w:rsidR="00881713" w:rsidRDefault="00881713" w:rsidP="007A5144">
            <w:pPr>
              <w:rPr>
                <w:rFonts w:ascii="Arial" w:hAnsi="Arial" w:cs="Arial"/>
                <w:sz w:val="20"/>
              </w:rPr>
            </w:pPr>
            <w:r w:rsidRPr="00890539">
              <w:rPr>
                <w:rFonts w:ascii="Arial" w:hAnsi="Arial" w:cs="Arial"/>
                <w:b/>
                <w:bCs/>
                <w:sz w:val="20"/>
              </w:rPr>
              <w:t xml:space="preserve">Anti-displacement and Relocation Plan </w:t>
            </w:r>
            <w:r>
              <w:rPr>
                <w:rFonts w:ascii="Arial" w:hAnsi="Arial" w:cs="Arial"/>
                <w:b/>
                <w:bCs/>
                <w:sz w:val="20"/>
              </w:rPr>
              <w:t xml:space="preserve">– </w:t>
            </w:r>
            <w:r w:rsidRPr="00890539">
              <w:rPr>
                <w:rFonts w:ascii="Arial" w:hAnsi="Arial" w:cs="Arial"/>
                <w:sz w:val="20"/>
              </w:rPr>
              <w:t>It will comply with the acquisition and relocation requirements of the Uniform Relocation Assistance and Real Property Acquisition Policies Act of 1970, as amended, and implementing regulations at 49 CFR 24; and it has in effect and is following a residential anti-displacement and relocation assistance plan required under section 104(d) of the Housing and Community Development Act of 1974, as amended, in connection with any activity assisted with funding under the CDBG or HOME programs.</w:t>
            </w:r>
          </w:p>
        </w:tc>
        <w:tc>
          <w:tcPr>
            <w:tcW w:w="843" w:type="dxa"/>
            <w:vAlign w:val="center"/>
          </w:tcPr>
          <w:p w14:paraId="76F0BDD0" w14:textId="77777777" w:rsidR="00881713" w:rsidRDefault="00881713" w:rsidP="007A5144">
            <w:pPr>
              <w:rPr>
                <w:rFonts w:ascii="Arial" w:hAnsi="Arial" w:cs="Arial"/>
                <w:sz w:val="20"/>
              </w:rPr>
            </w:pPr>
          </w:p>
        </w:tc>
      </w:tr>
      <w:tr w:rsidR="00881713" w14:paraId="0A556D2C" w14:textId="77777777" w:rsidTr="007A5144">
        <w:tc>
          <w:tcPr>
            <w:tcW w:w="10173" w:type="dxa"/>
            <w:vAlign w:val="center"/>
          </w:tcPr>
          <w:p w14:paraId="3DE6701D" w14:textId="77777777" w:rsidR="00881713" w:rsidRPr="00890539" w:rsidRDefault="00881713" w:rsidP="007A5144">
            <w:pPr>
              <w:spacing w:after="120"/>
              <w:rPr>
                <w:rFonts w:ascii="Arial" w:hAnsi="Arial" w:cs="Arial"/>
                <w:sz w:val="20"/>
              </w:rPr>
            </w:pPr>
            <w:r w:rsidRPr="00890539">
              <w:rPr>
                <w:rFonts w:ascii="Arial" w:hAnsi="Arial" w:cs="Arial"/>
                <w:b/>
                <w:bCs/>
                <w:sz w:val="20"/>
              </w:rPr>
              <w:t xml:space="preserve">Anti-Lobbying </w:t>
            </w:r>
            <w:r>
              <w:rPr>
                <w:rFonts w:ascii="Arial" w:hAnsi="Arial" w:cs="Arial"/>
                <w:b/>
                <w:bCs/>
                <w:sz w:val="20"/>
              </w:rPr>
              <w:t>–</w:t>
            </w:r>
            <w:r w:rsidRPr="00890539">
              <w:rPr>
                <w:rFonts w:ascii="Arial" w:hAnsi="Arial" w:cs="Arial"/>
                <w:b/>
                <w:bCs/>
                <w:sz w:val="20"/>
              </w:rPr>
              <w:t xml:space="preserve"> </w:t>
            </w:r>
            <w:r w:rsidRPr="00890539">
              <w:rPr>
                <w:rFonts w:ascii="Arial" w:hAnsi="Arial" w:cs="Arial"/>
                <w:sz w:val="20"/>
              </w:rPr>
              <w:t>To the best of the entity's knowledge and belief:</w:t>
            </w:r>
          </w:p>
          <w:p w14:paraId="4C67DFE7" w14:textId="77777777" w:rsidR="00881713" w:rsidRPr="00890539" w:rsidRDefault="00881713" w:rsidP="007A5144">
            <w:pPr>
              <w:spacing w:after="120"/>
              <w:ind w:left="720"/>
              <w:rPr>
                <w:rFonts w:ascii="Arial" w:hAnsi="Arial" w:cs="Arial"/>
                <w:sz w:val="20"/>
              </w:rPr>
            </w:pPr>
            <w:r w:rsidRPr="008070BB">
              <w:rPr>
                <w:rFonts w:ascii="Arial" w:hAnsi="Arial" w:cs="Arial"/>
                <w:sz w:val="20"/>
              </w:rPr>
              <w:t>1. No</w:t>
            </w:r>
            <w:r w:rsidRPr="00890539">
              <w:rPr>
                <w:rFonts w:ascii="Arial" w:hAnsi="Arial" w:cs="Arial"/>
                <w:sz w:val="20"/>
              </w:rPr>
              <w:t xml:space="preserve">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80572D0" w14:textId="77777777" w:rsidR="00881713" w:rsidRPr="00890539" w:rsidRDefault="00881713" w:rsidP="007A5144">
            <w:pPr>
              <w:spacing w:after="120"/>
              <w:ind w:left="720"/>
              <w:rPr>
                <w:rFonts w:ascii="Arial" w:hAnsi="Arial" w:cs="Arial"/>
                <w:sz w:val="20"/>
              </w:rPr>
            </w:pPr>
            <w:r w:rsidRPr="00890539">
              <w:rPr>
                <w:rFonts w:ascii="Arial" w:hAnsi="Arial" w:cs="Arial"/>
                <w:sz w:val="20"/>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14:paraId="3A30C971" w14:textId="255950C9" w:rsidR="00881713" w:rsidRDefault="00881713" w:rsidP="007A5144">
            <w:pPr>
              <w:spacing w:after="120"/>
              <w:ind w:left="720"/>
              <w:rPr>
                <w:rFonts w:ascii="Arial" w:hAnsi="Arial" w:cs="Arial"/>
                <w:sz w:val="20"/>
              </w:rPr>
            </w:pPr>
            <w:r w:rsidRPr="00890539">
              <w:rPr>
                <w:rFonts w:ascii="Arial" w:hAnsi="Arial" w:cs="Arial"/>
                <w:sz w:val="20"/>
              </w:rPr>
              <w:t>3. It will require that the language of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tc>
        <w:tc>
          <w:tcPr>
            <w:tcW w:w="843" w:type="dxa"/>
            <w:vAlign w:val="center"/>
          </w:tcPr>
          <w:p w14:paraId="7CACC02D" w14:textId="77777777" w:rsidR="00881713" w:rsidRDefault="00881713" w:rsidP="007A5144">
            <w:pPr>
              <w:rPr>
                <w:rFonts w:ascii="Arial" w:hAnsi="Arial" w:cs="Arial"/>
                <w:sz w:val="20"/>
              </w:rPr>
            </w:pPr>
          </w:p>
        </w:tc>
      </w:tr>
      <w:tr w:rsidR="00881713" w14:paraId="723BDE9D" w14:textId="77777777" w:rsidTr="007A5144">
        <w:trPr>
          <w:trHeight w:val="720"/>
        </w:trPr>
        <w:tc>
          <w:tcPr>
            <w:tcW w:w="10173" w:type="dxa"/>
            <w:vAlign w:val="center"/>
          </w:tcPr>
          <w:p w14:paraId="300B9734" w14:textId="7157D210" w:rsidR="00881713" w:rsidRDefault="00881713" w:rsidP="007A5144">
            <w:pPr>
              <w:rPr>
                <w:rFonts w:ascii="Arial" w:hAnsi="Arial" w:cs="Arial"/>
                <w:sz w:val="20"/>
              </w:rPr>
            </w:pPr>
            <w:r w:rsidRPr="00890539">
              <w:rPr>
                <w:rFonts w:ascii="Arial" w:hAnsi="Arial" w:cs="Arial"/>
                <w:b/>
                <w:bCs/>
                <w:sz w:val="20"/>
              </w:rPr>
              <w:t xml:space="preserve">Authority of Entity </w:t>
            </w:r>
            <w:r>
              <w:rPr>
                <w:rFonts w:ascii="Arial" w:hAnsi="Arial" w:cs="Arial"/>
                <w:b/>
                <w:bCs/>
                <w:sz w:val="20"/>
              </w:rPr>
              <w:t>–</w:t>
            </w:r>
            <w:r w:rsidRPr="00890539">
              <w:rPr>
                <w:rFonts w:ascii="Arial" w:hAnsi="Arial" w:cs="Arial"/>
                <w:b/>
                <w:bCs/>
                <w:sz w:val="20"/>
              </w:rPr>
              <w:t xml:space="preserve"> </w:t>
            </w:r>
            <w:r w:rsidRPr="00890539">
              <w:rPr>
                <w:rFonts w:ascii="Arial" w:hAnsi="Arial" w:cs="Arial"/>
                <w:sz w:val="20"/>
              </w:rPr>
              <w:t>The consolidated plan is authorized under State and local law (as applicable) and the entity possesses the legal authority to carry out the programs for which it is seeking funding, in accordance with applicable HUD regulations.</w:t>
            </w:r>
          </w:p>
        </w:tc>
        <w:tc>
          <w:tcPr>
            <w:tcW w:w="843" w:type="dxa"/>
            <w:vAlign w:val="center"/>
          </w:tcPr>
          <w:p w14:paraId="47B47D68" w14:textId="77777777" w:rsidR="00881713" w:rsidRDefault="00881713" w:rsidP="007A5144">
            <w:pPr>
              <w:rPr>
                <w:rFonts w:ascii="Arial" w:hAnsi="Arial" w:cs="Arial"/>
                <w:sz w:val="20"/>
              </w:rPr>
            </w:pPr>
          </w:p>
        </w:tc>
      </w:tr>
      <w:tr w:rsidR="005976AD" w14:paraId="08926745" w14:textId="77777777" w:rsidTr="005976AD">
        <w:trPr>
          <w:trHeight w:val="576"/>
        </w:trPr>
        <w:tc>
          <w:tcPr>
            <w:tcW w:w="10173" w:type="dxa"/>
            <w:vAlign w:val="center"/>
          </w:tcPr>
          <w:p w14:paraId="5B8CC3AD" w14:textId="4ECA97A2" w:rsidR="005976AD" w:rsidRPr="00890539" w:rsidRDefault="005976AD" w:rsidP="005976AD">
            <w:pPr>
              <w:rPr>
                <w:rFonts w:ascii="Arial" w:hAnsi="Arial" w:cs="Arial"/>
                <w:b/>
                <w:bCs/>
                <w:sz w:val="20"/>
              </w:rPr>
            </w:pPr>
            <w:r w:rsidRPr="00B82844">
              <w:rPr>
                <w:rFonts w:ascii="Arial" w:hAnsi="Arial" w:cs="Arial"/>
                <w:b/>
                <w:bCs/>
                <w:sz w:val="20"/>
              </w:rPr>
              <w:t xml:space="preserve">CoC Involvement </w:t>
            </w:r>
            <w:r w:rsidRPr="00B82844">
              <w:rPr>
                <w:rFonts w:ascii="Arial" w:hAnsi="Arial" w:cs="Arial"/>
                <w:sz w:val="20"/>
              </w:rPr>
              <w:t>– It will actively participate in its local</w:t>
            </w:r>
            <w:r>
              <w:rPr>
                <w:rFonts w:ascii="Arial" w:hAnsi="Arial" w:cs="Arial"/>
                <w:sz w:val="20"/>
              </w:rPr>
              <w:t xml:space="preserve"> coalition</w:t>
            </w:r>
            <w:r w:rsidRPr="00B82844">
              <w:rPr>
                <w:rFonts w:ascii="Arial" w:hAnsi="Arial" w:cs="Arial"/>
                <w:sz w:val="20"/>
              </w:rPr>
              <w:t>/HUD CoC. If a lead agency, it will attend CoC meetings as required by the HUD CoC.</w:t>
            </w:r>
          </w:p>
        </w:tc>
        <w:tc>
          <w:tcPr>
            <w:tcW w:w="843" w:type="dxa"/>
            <w:vAlign w:val="center"/>
          </w:tcPr>
          <w:p w14:paraId="423BBB6F" w14:textId="77777777" w:rsidR="005976AD" w:rsidRDefault="005976AD" w:rsidP="005976AD">
            <w:pPr>
              <w:rPr>
                <w:rFonts w:ascii="Arial" w:hAnsi="Arial" w:cs="Arial"/>
                <w:sz w:val="20"/>
              </w:rPr>
            </w:pPr>
          </w:p>
        </w:tc>
      </w:tr>
      <w:tr w:rsidR="005976AD" w14:paraId="6EDC23D3" w14:textId="77777777" w:rsidTr="005976AD">
        <w:trPr>
          <w:trHeight w:val="1008"/>
        </w:trPr>
        <w:tc>
          <w:tcPr>
            <w:tcW w:w="10173" w:type="dxa"/>
            <w:vAlign w:val="center"/>
          </w:tcPr>
          <w:p w14:paraId="6DEBB74C" w14:textId="33663082" w:rsidR="005976AD" w:rsidRPr="00890539" w:rsidRDefault="005976AD" w:rsidP="005976AD">
            <w:pPr>
              <w:rPr>
                <w:rFonts w:ascii="Arial" w:hAnsi="Arial" w:cs="Arial"/>
                <w:b/>
                <w:bCs/>
                <w:sz w:val="20"/>
              </w:rPr>
            </w:pPr>
            <w:r w:rsidRPr="00890539">
              <w:rPr>
                <w:rFonts w:ascii="Arial" w:hAnsi="Arial" w:cs="Arial"/>
                <w:b/>
                <w:bCs/>
                <w:sz w:val="20"/>
              </w:rPr>
              <w:t xml:space="preserve">Confidentiality – </w:t>
            </w:r>
            <w:r w:rsidRPr="00890539">
              <w:rPr>
                <w:rFonts w:ascii="Arial" w:hAnsi="Arial" w:cs="Arial"/>
                <w:sz w:val="20"/>
              </w:rPr>
              <w:t xml:space="preserve">It has established procedures to ensure the confidentiality of records pertaining to any individual provided family violence prevention or treatment services under any project assisted under </w:t>
            </w:r>
            <w:r>
              <w:rPr>
                <w:rFonts w:ascii="Arial" w:hAnsi="Arial" w:cs="Arial"/>
                <w:sz w:val="20"/>
              </w:rPr>
              <w:t>EHH</w:t>
            </w:r>
            <w:r w:rsidRPr="00890539">
              <w:rPr>
                <w:rFonts w:ascii="Arial" w:hAnsi="Arial" w:cs="Arial"/>
                <w:sz w:val="20"/>
              </w:rPr>
              <w:t xml:space="preserve"> program</w:t>
            </w:r>
            <w:r>
              <w:rPr>
                <w:rFonts w:ascii="Arial" w:hAnsi="Arial" w:cs="Arial"/>
                <w:sz w:val="20"/>
              </w:rPr>
              <w:t>s</w:t>
            </w:r>
            <w:r w:rsidRPr="00890539">
              <w:rPr>
                <w:rFonts w:ascii="Arial" w:hAnsi="Arial" w:cs="Arial"/>
                <w:sz w:val="20"/>
              </w:rPr>
              <w:t>, including protection against the release of the address or location of any family violence shelter project, except with the written authorization of the person responsible for the operation of that shelter.</w:t>
            </w:r>
          </w:p>
        </w:tc>
        <w:tc>
          <w:tcPr>
            <w:tcW w:w="843" w:type="dxa"/>
            <w:vAlign w:val="center"/>
          </w:tcPr>
          <w:p w14:paraId="06E3DE84" w14:textId="77777777" w:rsidR="005976AD" w:rsidRDefault="005976AD" w:rsidP="005976AD">
            <w:pPr>
              <w:rPr>
                <w:rFonts w:ascii="Arial" w:hAnsi="Arial" w:cs="Arial"/>
                <w:sz w:val="20"/>
              </w:rPr>
            </w:pPr>
          </w:p>
        </w:tc>
      </w:tr>
      <w:tr w:rsidR="005976AD" w14:paraId="61D8AD40" w14:textId="77777777" w:rsidTr="005976AD">
        <w:trPr>
          <w:trHeight w:val="576"/>
        </w:trPr>
        <w:tc>
          <w:tcPr>
            <w:tcW w:w="10173" w:type="dxa"/>
            <w:vAlign w:val="center"/>
          </w:tcPr>
          <w:p w14:paraId="19D198FB" w14:textId="177C07A0" w:rsidR="005976AD" w:rsidRPr="00890539" w:rsidRDefault="005976AD" w:rsidP="005976AD">
            <w:pPr>
              <w:rPr>
                <w:rFonts w:ascii="Arial" w:hAnsi="Arial" w:cs="Arial"/>
                <w:b/>
                <w:bCs/>
                <w:sz w:val="20"/>
              </w:rPr>
            </w:pPr>
            <w:r w:rsidRPr="00B82844">
              <w:rPr>
                <w:rFonts w:ascii="Arial" w:hAnsi="Arial" w:cs="Arial"/>
                <w:b/>
                <w:bCs/>
                <w:sz w:val="20"/>
              </w:rPr>
              <w:t xml:space="preserve">Consolidated Plan – </w:t>
            </w:r>
            <w:r w:rsidRPr="00B82844">
              <w:rPr>
                <w:rFonts w:ascii="Arial" w:hAnsi="Arial" w:cs="Arial"/>
                <w:sz w:val="20"/>
              </w:rPr>
              <w:t>All activities the entity undertakes with assistance under EHH are consistent with the jurisdiction’s consolidated and annual plans.</w:t>
            </w:r>
          </w:p>
        </w:tc>
        <w:tc>
          <w:tcPr>
            <w:tcW w:w="843" w:type="dxa"/>
            <w:vAlign w:val="center"/>
          </w:tcPr>
          <w:p w14:paraId="18E69B18" w14:textId="77777777" w:rsidR="005976AD" w:rsidRDefault="005976AD" w:rsidP="005976AD">
            <w:pPr>
              <w:rPr>
                <w:rFonts w:ascii="Arial" w:hAnsi="Arial" w:cs="Arial"/>
                <w:sz w:val="20"/>
              </w:rPr>
            </w:pPr>
          </w:p>
        </w:tc>
      </w:tr>
      <w:tr w:rsidR="005976AD" w14:paraId="5B1D56BF" w14:textId="77777777" w:rsidTr="005976AD">
        <w:trPr>
          <w:trHeight w:val="576"/>
        </w:trPr>
        <w:tc>
          <w:tcPr>
            <w:tcW w:w="10173" w:type="dxa"/>
            <w:vAlign w:val="center"/>
          </w:tcPr>
          <w:p w14:paraId="55B4D471" w14:textId="17AAA894" w:rsidR="005976AD" w:rsidRPr="00890539" w:rsidRDefault="005976AD" w:rsidP="005976AD">
            <w:pPr>
              <w:rPr>
                <w:rFonts w:ascii="Arial" w:hAnsi="Arial" w:cs="Arial"/>
                <w:b/>
                <w:bCs/>
                <w:sz w:val="20"/>
              </w:rPr>
            </w:pPr>
            <w:r w:rsidRPr="00B82844">
              <w:rPr>
                <w:rFonts w:ascii="Arial" w:hAnsi="Arial" w:cs="Arial"/>
                <w:b/>
                <w:bCs/>
                <w:sz w:val="20"/>
              </w:rPr>
              <w:t xml:space="preserve">Debarment </w:t>
            </w:r>
            <w:r w:rsidRPr="00B82844">
              <w:rPr>
                <w:rFonts w:ascii="Arial" w:hAnsi="Arial" w:cs="Arial"/>
                <w:sz w:val="20"/>
              </w:rPr>
              <w:t>– It will not employ, award contracts to, or otherwise engage the services of any contractor or Sub-recipient during any period of debarment, suspension, or placement of ineligibility status.</w:t>
            </w:r>
          </w:p>
        </w:tc>
        <w:tc>
          <w:tcPr>
            <w:tcW w:w="843" w:type="dxa"/>
            <w:vAlign w:val="center"/>
          </w:tcPr>
          <w:p w14:paraId="1546E073" w14:textId="77777777" w:rsidR="005976AD" w:rsidRDefault="005976AD" w:rsidP="005976AD">
            <w:pPr>
              <w:rPr>
                <w:rFonts w:ascii="Arial" w:hAnsi="Arial" w:cs="Arial"/>
                <w:sz w:val="20"/>
              </w:rPr>
            </w:pPr>
          </w:p>
        </w:tc>
      </w:tr>
      <w:tr w:rsidR="005976AD" w14:paraId="2C3EB7EB" w14:textId="77777777" w:rsidTr="005976AD">
        <w:trPr>
          <w:trHeight w:val="1008"/>
        </w:trPr>
        <w:tc>
          <w:tcPr>
            <w:tcW w:w="10173" w:type="dxa"/>
            <w:vAlign w:val="center"/>
          </w:tcPr>
          <w:p w14:paraId="2B32F3C9" w14:textId="4E13FBAD" w:rsidR="005976AD" w:rsidRPr="00B82844" w:rsidRDefault="005976AD" w:rsidP="005976AD">
            <w:pPr>
              <w:rPr>
                <w:rFonts w:ascii="Arial" w:hAnsi="Arial" w:cs="Arial"/>
                <w:b/>
                <w:bCs/>
                <w:sz w:val="20"/>
              </w:rPr>
            </w:pPr>
            <w:r w:rsidRPr="00B82844">
              <w:rPr>
                <w:rFonts w:ascii="Arial" w:hAnsi="Arial" w:cs="Arial"/>
                <w:b/>
                <w:bCs/>
                <w:sz w:val="20"/>
              </w:rPr>
              <w:t xml:space="preserve">Discharge Policy – </w:t>
            </w:r>
            <w:r w:rsidRPr="00B82844">
              <w:rPr>
                <w:rFonts w:ascii="Arial" w:hAnsi="Arial" w:cs="Arial"/>
                <w:sz w:val="20"/>
              </w:rPr>
              <w:t>It will establish and implement, to the maximum extent practicable and where appropriate, policies and protocols for the discharge of persons from publicly funded institutions or systems of care (such as health care facilities, mental health facilities, foster care or other youth facilities, or correction programs and institutions) in order to prevent this discharge from immediately resulting in homelessness for these persons.</w:t>
            </w:r>
          </w:p>
        </w:tc>
        <w:tc>
          <w:tcPr>
            <w:tcW w:w="843" w:type="dxa"/>
            <w:vAlign w:val="center"/>
          </w:tcPr>
          <w:p w14:paraId="5CBF26C2" w14:textId="77777777" w:rsidR="005976AD" w:rsidRDefault="005976AD" w:rsidP="005976AD">
            <w:pPr>
              <w:rPr>
                <w:rFonts w:ascii="Arial" w:hAnsi="Arial" w:cs="Arial"/>
                <w:sz w:val="20"/>
              </w:rPr>
            </w:pPr>
          </w:p>
        </w:tc>
      </w:tr>
      <w:tr w:rsidR="005976AD" w14:paraId="79CDFAE0" w14:textId="77777777" w:rsidTr="005976AD">
        <w:trPr>
          <w:trHeight w:val="720"/>
        </w:trPr>
        <w:tc>
          <w:tcPr>
            <w:tcW w:w="10173" w:type="dxa"/>
            <w:vAlign w:val="center"/>
          </w:tcPr>
          <w:p w14:paraId="282F20C5" w14:textId="628CA2FB" w:rsidR="005976AD" w:rsidRPr="00B82844" w:rsidRDefault="005976AD" w:rsidP="005976AD">
            <w:pPr>
              <w:rPr>
                <w:rFonts w:ascii="Arial" w:hAnsi="Arial" w:cs="Arial"/>
                <w:b/>
                <w:bCs/>
                <w:sz w:val="20"/>
              </w:rPr>
            </w:pPr>
            <w:r w:rsidRPr="00B82844">
              <w:rPr>
                <w:rFonts w:ascii="Arial" w:hAnsi="Arial" w:cs="Arial"/>
                <w:b/>
                <w:bCs/>
                <w:sz w:val="20"/>
              </w:rPr>
              <w:t>Drug-Free Workplace</w:t>
            </w:r>
            <w:r w:rsidRPr="00B82844">
              <w:rPr>
                <w:rFonts w:ascii="Arial" w:hAnsi="Arial" w:cs="Arial"/>
                <w:sz w:val="20"/>
              </w:rPr>
              <w:t>– It will or will continue to provide a drug-free workplace by complying with the implementation of rules around drug prohibition, notification to employees of the rules, and disclosure of violations in accordance the rule.</w:t>
            </w:r>
          </w:p>
        </w:tc>
        <w:tc>
          <w:tcPr>
            <w:tcW w:w="843" w:type="dxa"/>
            <w:vAlign w:val="center"/>
          </w:tcPr>
          <w:p w14:paraId="3308F5E4" w14:textId="77777777" w:rsidR="005976AD" w:rsidRDefault="005976AD" w:rsidP="005976AD">
            <w:pPr>
              <w:rPr>
                <w:rFonts w:ascii="Arial" w:hAnsi="Arial" w:cs="Arial"/>
                <w:sz w:val="20"/>
              </w:rPr>
            </w:pPr>
          </w:p>
        </w:tc>
      </w:tr>
      <w:tr w:rsidR="005976AD" w14:paraId="6DD43015" w14:textId="77777777" w:rsidTr="005976AD">
        <w:trPr>
          <w:trHeight w:val="576"/>
        </w:trPr>
        <w:tc>
          <w:tcPr>
            <w:tcW w:w="10173" w:type="dxa"/>
            <w:vAlign w:val="center"/>
          </w:tcPr>
          <w:p w14:paraId="00AA9290" w14:textId="3FC06F85" w:rsidR="005976AD" w:rsidRPr="00B82844" w:rsidRDefault="005976AD" w:rsidP="005976AD">
            <w:pPr>
              <w:rPr>
                <w:rFonts w:ascii="Arial" w:hAnsi="Arial" w:cs="Arial"/>
                <w:b/>
                <w:bCs/>
                <w:sz w:val="20"/>
              </w:rPr>
            </w:pPr>
            <w:r w:rsidRPr="00B82844">
              <w:rPr>
                <w:rFonts w:ascii="Arial" w:hAnsi="Arial" w:cs="Arial"/>
                <w:b/>
                <w:bCs/>
                <w:sz w:val="20"/>
              </w:rPr>
              <w:t xml:space="preserve">Equal Access and Gender Identity </w:t>
            </w:r>
            <w:r w:rsidRPr="00B82844">
              <w:rPr>
                <w:rFonts w:ascii="Arial" w:hAnsi="Arial" w:cs="Arial"/>
                <w:sz w:val="20"/>
              </w:rPr>
              <w:t>– It ensures equal access of participants to EHH programs and shelters regardless of sexual orientation, gender identity, or marital status.</w:t>
            </w:r>
          </w:p>
        </w:tc>
        <w:tc>
          <w:tcPr>
            <w:tcW w:w="843" w:type="dxa"/>
            <w:vAlign w:val="center"/>
          </w:tcPr>
          <w:p w14:paraId="2AC54AD2" w14:textId="77777777" w:rsidR="005976AD" w:rsidRDefault="005976AD" w:rsidP="005976AD">
            <w:pPr>
              <w:rPr>
                <w:rFonts w:ascii="Arial" w:hAnsi="Arial" w:cs="Arial"/>
                <w:sz w:val="20"/>
              </w:rPr>
            </w:pPr>
          </w:p>
        </w:tc>
      </w:tr>
      <w:tr w:rsidR="005976AD" w14:paraId="64D232D3" w14:textId="77777777" w:rsidTr="005976AD">
        <w:trPr>
          <w:trHeight w:val="576"/>
        </w:trPr>
        <w:tc>
          <w:tcPr>
            <w:tcW w:w="10173" w:type="dxa"/>
            <w:vAlign w:val="center"/>
          </w:tcPr>
          <w:p w14:paraId="2C0CE426" w14:textId="50B07B10" w:rsidR="005976AD" w:rsidRPr="00890539" w:rsidRDefault="005976AD" w:rsidP="005976AD">
            <w:pPr>
              <w:rPr>
                <w:rFonts w:ascii="Arial" w:hAnsi="Arial" w:cs="Arial"/>
                <w:b/>
                <w:bCs/>
                <w:sz w:val="20"/>
              </w:rPr>
            </w:pPr>
            <w:r w:rsidRPr="00B82844">
              <w:rPr>
                <w:rFonts w:ascii="Arial" w:hAnsi="Arial" w:cs="Arial"/>
                <w:b/>
                <w:bCs/>
                <w:sz w:val="20"/>
              </w:rPr>
              <w:lastRenderedPageBreak/>
              <w:t xml:space="preserve">Faith-Based Activities </w:t>
            </w:r>
            <w:r w:rsidRPr="00B82844">
              <w:rPr>
                <w:rFonts w:ascii="Arial" w:hAnsi="Arial" w:cs="Arial"/>
                <w:sz w:val="20"/>
              </w:rPr>
              <w:t>– All eligible activities are administered in a manner which is free from religious influences and does not discriminate or give preference on the basis of religion.</w:t>
            </w:r>
          </w:p>
        </w:tc>
        <w:tc>
          <w:tcPr>
            <w:tcW w:w="843" w:type="dxa"/>
            <w:vAlign w:val="center"/>
          </w:tcPr>
          <w:p w14:paraId="05994AAB" w14:textId="77777777" w:rsidR="005976AD" w:rsidRDefault="005976AD" w:rsidP="005976AD">
            <w:pPr>
              <w:rPr>
                <w:rFonts w:ascii="Arial" w:hAnsi="Arial" w:cs="Arial"/>
                <w:sz w:val="20"/>
              </w:rPr>
            </w:pPr>
          </w:p>
        </w:tc>
      </w:tr>
      <w:tr w:rsidR="005976AD" w14:paraId="62156A37" w14:textId="77777777" w:rsidTr="005976AD">
        <w:trPr>
          <w:trHeight w:val="1728"/>
        </w:trPr>
        <w:tc>
          <w:tcPr>
            <w:tcW w:w="10173" w:type="dxa"/>
            <w:vAlign w:val="center"/>
          </w:tcPr>
          <w:p w14:paraId="3B97EF65" w14:textId="0EC5C41A" w:rsidR="005976AD" w:rsidRPr="00890539" w:rsidRDefault="005976AD" w:rsidP="005976AD">
            <w:pPr>
              <w:rPr>
                <w:rFonts w:ascii="Arial" w:hAnsi="Arial" w:cs="Arial"/>
                <w:b/>
                <w:bCs/>
                <w:sz w:val="20"/>
              </w:rPr>
            </w:pPr>
            <w:r w:rsidRPr="00890539">
              <w:rPr>
                <w:rFonts w:ascii="Arial" w:hAnsi="Arial" w:cs="Arial"/>
                <w:b/>
                <w:sz w:val="20"/>
              </w:rPr>
              <w:t>Financial Management</w:t>
            </w:r>
            <w:r w:rsidRPr="00890539">
              <w:rPr>
                <w:rFonts w:ascii="Arial" w:hAnsi="Arial" w:cs="Arial"/>
                <w:sz w:val="20"/>
              </w:rPr>
              <w:t xml:space="preserve"> – It is compliant with regulations and requirements pertaining to the following areas of financial management: allowable costs, source documentation, internal controls, budget controls, cost allocation plans, cash management, accounting records, procurement, and audits.  Program funds are used only for eligible activities and in accordance with the Division of Energy, Housing and Comm</w:t>
            </w:r>
            <w:r>
              <w:rPr>
                <w:rFonts w:ascii="Arial" w:hAnsi="Arial" w:cs="Arial"/>
                <w:sz w:val="20"/>
              </w:rPr>
              <w:t>unity Resources approved</w:t>
            </w:r>
            <w:r w:rsidRPr="00890539">
              <w:rPr>
                <w:rFonts w:ascii="Arial" w:hAnsi="Arial" w:cs="Arial"/>
                <w:sz w:val="20"/>
              </w:rPr>
              <w:t xml:space="preserve"> budget.  The entity is capable of providing adequate documentation to support costs listed on reimbursement requests. There is a policy manual covering basic accounting procedures and specifying approval authority for financial transactions (no one individual has control over an entire financial transaction).</w:t>
            </w:r>
          </w:p>
        </w:tc>
        <w:tc>
          <w:tcPr>
            <w:tcW w:w="843" w:type="dxa"/>
            <w:vAlign w:val="center"/>
          </w:tcPr>
          <w:p w14:paraId="4EC7CD22" w14:textId="77777777" w:rsidR="005976AD" w:rsidRDefault="005976AD" w:rsidP="005976AD">
            <w:pPr>
              <w:rPr>
                <w:rFonts w:ascii="Arial" w:hAnsi="Arial" w:cs="Arial"/>
                <w:sz w:val="20"/>
              </w:rPr>
            </w:pPr>
          </w:p>
        </w:tc>
      </w:tr>
      <w:tr w:rsidR="005976AD" w14:paraId="0507A789" w14:textId="77777777" w:rsidTr="005976AD">
        <w:trPr>
          <w:trHeight w:val="1440"/>
        </w:trPr>
        <w:tc>
          <w:tcPr>
            <w:tcW w:w="10173" w:type="dxa"/>
            <w:vAlign w:val="center"/>
          </w:tcPr>
          <w:p w14:paraId="76D988EB" w14:textId="479E9485" w:rsidR="005976AD" w:rsidRPr="00890539" w:rsidRDefault="005976AD" w:rsidP="005976AD">
            <w:pPr>
              <w:rPr>
                <w:rFonts w:ascii="Arial" w:hAnsi="Arial" w:cs="Arial"/>
                <w:b/>
                <w:bCs/>
                <w:sz w:val="20"/>
              </w:rPr>
            </w:pPr>
            <w:r w:rsidRPr="00B82844">
              <w:rPr>
                <w:rFonts w:ascii="Arial" w:hAnsi="Arial" w:cs="Arial"/>
                <w:b/>
                <w:sz w:val="20"/>
              </w:rPr>
              <w:t>Good Standing</w:t>
            </w:r>
            <w:r w:rsidRPr="00B82844">
              <w:rPr>
                <w:rFonts w:ascii="Arial" w:hAnsi="Arial" w:cs="Arial"/>
                <w:sz w:val="20"/>
              </w:rPr>
              <w:t xml:space="preserve"> – It is either a nonprofit qualified for tax exemption under 501(c)(3) of the internal revenue code or a unit of government.  The agency is an equal opportunity employer in accordance with all federal regulations. If applicable, a financial audit was conducted in compliance with OMB A-133 standards and submitted to the Department of Administration.  There was no finding in this audit in which funds were requested to be returned because of misappropriation, ineligible expenses or any other issue.  In the prior two years, no fines or liens have been levied against the agency (example: a fine for not paying payroll tax).  </w:t>
            </w:r>
          </w:p>
        </w:tc>
        <w:tc>
          <w:tcPr>
            <w:tcW w:w="843" w:type="dxa"/>
            <w:vAlign w:val="center"/>
          </w:tcPr>
          <w:p w14:paraId="126698FC" w14:textId="77777777" w:rsidR="005976AD" w:rsidRDefault="005976AD" w:rsidP="005976AD">
            <w:pPr>
              <w:rPr>
                <w:rFonts w:ascii="Arial" w:hAnsi="Arial" w:cs="Arial"/>
                <w:sz w:val="20"/>
              </w:rPr>
            </w:pPr>
          </w:p>
        </w:tc>
      </w:tr>
      <w:tr w:rsidR="005976AD" w14:paraId="0A9C9CD2" w14:textId="77777777" w:rsidTr="005976AD">
        <w:trPr>
          <w:trHeight w:val="576"/>
        </w:trPr>
        <w:tc>
          <w:tcPr>
            <w:tcW w:w="10173" w:type="dxa"/>
            <w:vAlign w:val="center"/>
          </w:tcPr>
          <w:p w14:paraId="281E7513" w14:textId="74F96B92" w:rsidR="005976AD" w:rsidRPr="00890539" w:rsidRDefault="005976AD" w:rsidP="005976AD">
            <w:pPr>
              <w:rPr>
                <w:rFonts w:ascii="Arial" w:hAnsi="Arial" w:cs="Arial"/>
                <w:b/>
                <w:bCs/>
                <w:sz w:val="20"/>
              </w:rPr>
            </w:pPr>
            <w:r w:rsidRPr="00890539">
              <w:rPr>
                <w:rFonts w:ascii="Arial" w:hAnsi="Arial" w:cs="Arial"/>
                <w:b/>
                <w:sz w:val="20"/>
              </w:rPr>
              <w:t>Grant-Funded Time</w:t>
            </w:r>
            <w:r w:rsidRPr="00890539">
              <w:rPr>
                <w:rFonts w:ascii="Arial" w:hAnsi="Arial" w:cs="Arial"/>
                <w:sz w:val="20"/>
              </w:rPr>
              <w:t xml:space="preserve"> – It uses employee timesheets that allow employees to track grant funded time spent on ESG, H</w:t>
            </w:r>
            <w:r>
              <w:rPr>
                <w:rFonts w:ascii="Arial" w:hAnsi="Arial" w:cs="Arial"/>
                <w:sz w:val="20"/>
              </w:rPr>
              <w:t>A</w:t>
            </w:r>
            <w:r w:rsidRPr="00890539">
              <w:rPr>
                <w:rFonts w:ascii="Arial" w:hAnsi="Arial" w:cs="Arial"/>
                <w:sz w:val="20"/>
              </w:rPr>
              <w:t xml:space="preserve">P, and HPP related activities separately from time spent and funded from other resources.  </w:t>
            </w:r>
          </w:p>
        </w:tc>
        <w:tc>
          <w:tcPr>
            <w:tcW w:w="843" w:type="dxa"/>
            <w:vAlign w:val="center"/>
          </w:tcPr>
          <w:p w14:paraId="337E2D4C" w14:textId="77777777" w:rsidR="005976AD" w:rsidRDefault="005976AD" w:rsidP="005976AD">
            <w:pPr>
              <w:rPr>
                <w:rFonts w:ascii="Arial" w:hAnsi="Arial" w:cs="Arial"/>
                <w:sz w:val="20"/>
              </w:rPr>
            </w:pPr>
          </w:p>
        </w:tc>
      </w:tr>
      <w:tr w:rsidR="005976AD" w14:paraId="2DEDE885" w14:textId="77777777" w:rsidTr="005976AD">
        <w:trPr>
          <w:trHeight w:val="576"/>
        </w:trPr>
        <w:tc>
          <w:tcPr>
            <w:tcW w:w="10173" w:type="dxa"/>
            <w:vAlign w:val="center"/>
          </w:tcPr>
          <w:p w14:paraId="5DE5A514" w14:textId="4076576B" w:rsidR="005976AD" w:rsidRPr="00890539" w:rsidRDefault="005976AD" w:rsidP="005976AD">
            <w:pPr>
              <w:rPr>
                <w:rFonts w:ascii="Arial" w:hAnsi="Arial" w:cs="Arial"/>
                <w:b/>
                <w:bCs/>
                <w:sz w:val="20"/>
              </w:rPr>
            </w:pPr>
            <w:r w:rsidRPr="00B82844">
              <w:rPr>
                <w:rFonts w:ascii="Arial" w:hAnsi="Arial" w:cs="Arial"/>
                <w:b/>
                <w:sz w:val="20"/>
              </w:rPr>
              <w:t>HMIS Participation</w:t>
            </w:r>
            <w:r w:rsidRPr="00B82844">
              <w:rPr>
                <w:rFonts w:ascii="Arial" w:hAnsi="Arial" w:cs="Arial"/>
                <w:sz w:val="20"/>
              </w:rPr>
              <w:t xml:space="preserve"> – It fully participates in HMIS, or if the agency is a victim services agency, a HUD-compliant, HMIS-comparable database.</w:t>
            </w:r>
          </w:p>
        </w:tc>
        <w:tc>
          <w:tcPr>
            <w:tcW w:w="843" w:type="dxa"/>
            <w:vAlign w:val="center"/>
          </w:tcPr>
          <w:p w14:paraId="4DFAE9F3" w14:textId="77777777" w:rsidR="005976AD" w:rsidRDefault="005976AD" w:rsidP="005976AD">
            <w:pPr>
              <w:rPr>
                <w:rFonts w:ascii="Arial" w:hAnsi="Arial" w:cs="Arial"/>
                <w:sz w:val="20"/>
              </w:rPr>
            </w:pPr>
          </w:p>
        </w:tc>
      </w:tr>
      <w:tr w:rsidR="008310BD" w14:paraId="730C0E37" w14:textId="77777777" w:rsidTr="005976AD">
        <w:trPr>
          <w:trHeight w:val="576"/>
        </w:trPr>
        <w:tc>
          <w:tcPr>
            <w:tcW w:w="10173" w:type="dxa"/>
            <w:vAlign w:val="center"/>
          </w:tcPr>
          <w:p w14:paraId="776A28A1" w14:textId="2AC78BA3" w:rsidR="008310BD" w:rsidRPr="00B82844" w:rsidRDefault="008310BD" w:rsidP="008310BD">
            <w:pPr>
              <w:rPr>
                <w:rFonts w:ascii="Arial" w:hAnsi="Arial" w:cs="Arial"/>
                <w:b/>
                <w:sz w:val="20"/>
              </w:rPr>
            </w:pPr>
            <w:r w:rsidRPr="008310BD">
              <w:rPr>
                <w:rFonts w:ascii="Arial" w:hAnsi="Arial" w:cs="Arial"/>
                <w:b/>
                <w:sz w:val="20"/>
              </w:rPr>
              <w:t>Housing Inventory Chart</w:t>
            </w:r>
            <w:r>
              <w:rPr>
                <w:rFonts w:ascii="Arial" w:hAnsi="Arial" w:cs="Arial"/>
                <w:bCs/>
                <w:sz w:val="20"/>
              </w:rPr>
              <w:t xml:space="preserve"> – It will </w:t>
            </w:r>
            <w:r w:rsidRPr="00214092">
              <w:rPr>
                <w:rFonts w:ascii="Arial" w:hAnsi="Arial" w:cs="Arial"/>
                <w:bCs/>
                <w:sz w:val="20"/>
              </w:rPr>
              <w:t xml:space="preserve">complete a program client count </w:t>
            </w:r>
            <w:r>
              <w:rPr>
                <w:rFonts w:ascii="Arial" w:hAnsi="Arial" w:cs="Arial"/>
                <w:bCs/>
                <w:sz w:val="20"/>
              </w:rPr>
              <w:t>on</w:t>
            </w:r>
            <w:r w:rsidRPr="00214092">
              <w:rPr>
                <w:rFonts w:ascii="Arial" w:hAnsi="Arial" w:cs="Arial"/>
                <w:bCs/>
                <w:sz w:val="20"/>
              </w:rPr>
              <w:t xml:space="preserve"> the fourth Wednesday of </w:t>
            </w:r>
            <w:r>
              <w:rPr>
                <w:rFonts w:ascii="Arial" w:hAnsi="Arial" w:cs="Arial"/>
                <w:bCs/>
                <w:sz w:val="20"/>
              </w:rPr>
              <w:t>every</w:t>
            </w:r>
            <w:r w:rsidRPr="00214092">
              <w:rPr>
                <w:rFonts w:ascii="Arial" w:hAnsi="Arial" w:cs="Arial"/>
                <w:bCs/>
                <w:sz w:val="20"/>
              </w:rPr>
              <w:t xml:space="preserve"> month for all </w:t>
            </w:r>
            <w:r>
              <w:rPr>
                <w:rFonts w:ascii="Arial" w:hAnsi="Arial" w:cs="Arial"/>
                <w:bCs/>
                <w:sz w:val="20"/>
              </w:rPr>
              <w:t xml:space="preserve">applicable </w:t>
            </w:r>
            <w:r w:rsidRPr="00214092">
              <w:rPr>
                <w:rFonts w:ascii="Arial" w:hAnsi="Arial" w:cs="Arial"/>
                <w:bCs/>
                <w:sz w:val="20"/>
              </w:rPr>
              <w:t xml:space="preserve">housing programs and report it on the monthly Housing Inventory Chart (HIC). </w:t>
            </w:r>
          </w:p>
        </w:tc>
        <w:tc>
          <w:tcPr>
            <w:tcW w:w="843" w:type="dxa"/>
            <w:vAlign w:val="center"/>
          </w:tcPr>
          <w:p w14:paraId="3EA5A086" w14:textId="77777777" w:rsidR="008310BD" w:rsidRDefault="008310BD" w:rsidP="008310BD">
            <w:pPr>
              <w:rPr>
                <w:rFonts w:ascii="Arial" w:hAnsi="Arial" w:cs="Arial"/>
                <w:sz w:val="20"/>
              </w:rPr>
            </w:pPr>
          </w:p>
        </w:tc>
      </w:tr>
      <w:tr w:rsidR="008310BD" w14:paraId="66D1AB90" w14:textId="77777777" w:rsidTr="005976AD">
        <w:trPr>
          <w:trHeight w:val="576"/>
        </w:trPr>
        <w:tc>
          <w:tcPr>
            <w:tcW w:w="10173" w:type="dxa"/>
            <w:vAlign w:val="center"/>
          </w:tcPr>
          <w:p w14:paraId="7EB17BEB" w14:textId="6C37B1CE" w:rsidR="008310BD" w:rsidRPr="00B82844" w:rsidRDefault="008310BD" w:rsidP="008310BD">
            <w:pPr>
              <w:rPr>
                <w:rFonts w:ascii="Arial" w:hAnsi="Arial" w:cs="Arial"/>
                <w:b/>
                <w:sz w:val="20"/>
              </w:rPr>
            </w:pPr>
            <w:r w:rsidRPr="00B82844">
              <w:rPr>
                <w:rFonts w:ascii="Arial" w:hAnsi="Arial" w:cs="Arial"/>
                <w:b/>
                <w:bCs/>
                <w:sz w:val="20"/>
              </w:rPr>
              <w:t xml:space="preserve">Monitoring </w:t>
            </w:r>
            <w:r w:rsidRPr="00B82844">
              <w:rPr>
                <w:rFonts w:ascii="Arial" w:hAnsi="Arial" w:cs="Arial"/>
                <w:sz w:val="20"/>
              </w:rPr>
              <w:t>– It will participate in the monitoring processes conducted by DEHCR and the Lead Agency (if a sub-recipient).</w:t>
            </w:r>
          </w:p>
        </w:tc>
        <w:tc>
          <w:tcPr>
            <w:tcW w:w="843" w:type="dxa"/>
            <w:vAlign w:val="center"/>
          </w:tcPr>
          <w:p w14:paraId="79EBD184" w14:textId="77777777" w:rsidR="008310BD" w:rsidRDefault="008310BD" w:rsidP="008310BD">
            <w:pPr>
              <w:rPr>
                <w:rFonts w:ascii="Arial" w:hAnsi="Arial" w:cs="Arial"/>
                <w:sz w:val="20"/>
              </w:rPr>
            </w:pPr>
          </w:p>
        </w:tc>
      </w:tr>
      <w:tr w:rsidR="008310BD" w14:paraId="38494B96" w14:textId="77777777" w:rsidTr="005976AD">
        <w:trPr>
          <w:trHeight w:val="720"/>
        </w:trPr>
        <w:tc>
          <w:tcPr>
            <w:tcW w:w="10173" w:type="dxa"/>
            <w:vAlign w:val="center"/>
          </w:tcPr>
          <w:p w14:paraId="6387F1F7" w14:textId="42E9E9E3" w:rsidR="008310BD" w:rsidRPr="00B82844" w:rsidRDefault="008310BD" w:rsidP="008310BD">
            <w:pPr>
              <w:rPr>
                <w:rFonts w:ascii="Arial" w:hAnsi="Arial" w:cs="Arial"/>
                <w:b/>
                <w:bCs/>
                <w:sz w:val="20"/>
              </w:rPr>
            </w:pPr>
            <w:r w:rsidRPr="00B82844">
              <w:rPr>
                <w:rFonts w:ascii="Arial" w:hAnsi="Arial" w:cs="Arial"/>
                <w:b/>
                <w:bCs/>
                <w:sz w:val="20"/>
              </w:rPr>
              <w:t xml:space="preserve">Non-Discrimination </w:t>
            </w:r>
            <w:r w:rsidRPr="00B82844">
              <w:rPr>
                <w:rFonts w:ascii="Arial" w:hAnsi="Arial" w:cs="Arial"/>
                <w:sz w:val="20"/>
              </w:rPr>
              <w:t>– It shall not discriminate against any employee, applicant for employment, program participant, or program applicant because of age, race, religion, color, handicap, sex, physical condition, developmental, sexual orientation, or national origin.</w:t>
            </w:r>
          </w:p>
        </w:tc>
        <w:tc>
          <w:tcPr>
            <w:tcW w:w="843" w:type="dxa"/>
            <w:vAlign w:val="center"/>
          </w:tcPr>
          <w:p w14:paraId="715A8265" w14:textId="77777777" w:rsidR="008310BD" w:rsidRDefault="008310BD" w:rsidP="008310BD">
            <w:pPr>
              <w:rPr>
                <w:rFonts w:ascii="Arial" w:hAnsi="Arial" w:cs="Arial"/>
                <w:sz w:val="20"/>
              </w:rPr>
            </w:pPr>
          </w:p>
        </w:tc>
      </w:tr>
      <w:tr w:rsidR="008310BD" w14:paraId="2B396E62" w14:textId="77777777" w:rsidTr="005976AD">
        <w:trPr>
          <w:trHeight w:val="720"/>
        </w:trPr>
        <w:tc>
          <w:tcPr>
            <w:tcW w:w="10173" w:type="dxa"/>
            <w:vAlign w:val="center"/>
          </w:tcPr>
          <w:p w14:paraId="25E35552" w14:textId="762819BD" w:rsidR="008310BD" w:rsidRPr="00B82844" w:rsidRDefault="008310BD" w:rsidP="008310BD">
            <w:pPr>
              <w:rPr>
                <w:rFonts w:ascii="Arial" w:hAnsi="Arial" w:cs="Arial"/>
                <w:b/>
                <w:sz w:val="20"/>
              </w:rPr>
            </w:pPr>
            <w:r w:rsidRPr="00890539">
              <w:rPr>
                <w:rFonts w:ascii="Arial" w:hAnsi="Arial" w:cs="Arial"/>
                <w:b/>
                <w:sz w:val="20"/>
              </w:rPr>
              <w:t>Organization and Staffing</w:t>
            </w:r>
            <w:r w:rsidRPr="00890539">
              <w:rPr>
                <w:rFonts w:ascii="Arial" w:hAnsi="Arial" w:cs="Arial"/>
                <w:sz w:val="20"/>
              </w:rPr>
              <w:t xml:space="preserve"> – There is an organizational chart showing titles and lines of authority, and there are written position descriptions describing the responsibilities of key employees.  Hiring policies ensure that staff qualifications are equal to job responsibilities and that individuals hired are competent to do the job.</w:t>
            </w:r>
          </w:p>
        </w:tc>
        <w:tc>
          <w:tcPr>
            <w:tcW w:w="843" w:type="dxa"/>
            <w:vAlign w:val="center"/>
          </w:tcPr>
          <w:p w14:paraId="1D4CED54" w14:textId="77777777" w:rsidR="008310BD" w:rsidRDefault="008310BD" w:rsidP="008310BD">
            <w:pPr>
              <w:rPr>
                <w:rFonts w:ascii="Arial" w:hAnsi="Arial" w:cs="Arial"/>
                <w:sz w:val="20"/>
              </w:rPr>
            </w:pPr>
          </w:p>
        </w:tc>
      </w:tr>
      <w:tr w:rsidR="008310BD" w14:paraId="2590E2E0" w14:textId="77777777" w:rsidTr="005976AD">
        <w:trPr>
          <w:trHeight w:val="576"/>
        </w:trPr>
        <w:tc>
          <w:tcPr>
            <w:tcW w:w="10173" w:type="dxa"/>
            <w:vAlign w:val="center"/>
          </w:tcPr>
          <w:p w14:paraId="404D57ED" w14:textId="04AD47D4" w:rsidR="008310BD" w:rsidRPr="00890539" w:rsidRDefault="008310BD" w:rsidP="008310BD">
            <w:pPr>
              <w:rPr>
                <w:rFonts w:ascii="Arial" w:hAnsi="Arial" w:cs="Arial"/>
                <w:b/>
                <w:sz w:val="20"/>
              </w:rPr>
            </w:pPr>
            <w:r w:rsidRPr="00B82844">
              <w:rPr>
                <w:rFonts w:ascii="Arial" w:hAnsi="Arial" w:cs="Arial"/>
                <w:b/>
                <w:sz w:val="20"/>
              </w:rPr>
              <w:t>Point-in-Time</w:t>
            </w:r>
            <w:r w:rsidRPr="00B82844">
              <w:rPr>
                <w:rFonts w:ascii="Arial" w:hAnsi="Arial" w:cs="Arial"/>
                <w:sz w:val="20"/>
              </w:rPr>
              <w:t xml:space="preserve"> – It actively participates in the annual point-in-time overnight street count in January and the count in July if required by the HUD CoC.</w:t>
            </w:r>
          </w:p>
        </w:tc>
        <w:tc>
          <w:tcPr>
            <w:tcW w:w="843" w:type="dxa"/>
            <w:vAlign w:val="center"/>
          </w:tcPr>
          <w:p w14:paraId="7232E53A" w14:textId="77777777" w:rsidR="008310BD" w:rsidRDefault="008310BD" w:rsidP="008310BD">
            <w:pPr>
              <w:rPr>
                <w:rFonts w:ascii="Arial" w:hAnsi="Arial" w:cs="Arial"/>
                <w:sz w:val="20"/>
              </w:rPr>
            </w:pPr>
          </w:p>
        </w:tc>
      </w:tr>
      <w:tr w:rsidR="008310BD" w14:paraId="7DA2B5E6" w14:textId="77777777" w:rsidTr="0039470A">
        <w:trPr>
          <w:trHeight w:val="576"/>
        </w:trPr>
        <w:tc>
          <w:tcPr>
            <w:tcW w:w="10173" w:type="dxa"/>
            <w:vAlign w:val="center"/>
          </w:tcPr>
          <w:p w14:paraId="7A67A876" w14:textId="25D33E28" w:rsidR="008310BD" w:rsidRPr="00B82844" w:rsidRDefault="008310BD" w:rsidP="008310BD">
            <w:pPr>
              <w:rPr>
                <w:rFonts w:ascii="Arial" w:hAnsi="Arial" w:cs="Arial"/>
                <w:b/>
                <w:sz w:val="20"/>
              </w:rPr>
            </w:pPr>
            <w:r w:rsidRPr="00B82844">
              <w:rPr>
                <w:rFonts w:ascii="Arial" w:hAnsi="Arial" w:cs="Arial"/>
                <w:b/>
                <w:bCs/>
                <w:sz w:val="20"/>
              </w:rPr>
              <w:t xml:space="preserve">Program Manual </w:t>
            </w:r>
            <w:r w:rsidRPr="00B82844">
              <w:rPr>
                <w:rFonts w:ascii="Arial" w:hAnsi="Arial" w:cs="Arial"/>
                <w:sz w:val="20"/>
              </w:rPr>
              <w:t>– It will comply with all rules and requirements listed in the E</w:t>
            </w:r>
            <w:r>
              <w:rPr>
                <w:rFonts w:ascii="Arial" w:hAnsi="Arial" w:cs="Arial"/>
                <w:sz w:val="20"/>
              </w:rPr>
              <w:t>SG/HPP</w:t>
            </w:r>
            <w:r w:rsidRPr="00B82844">
              <w:rPr>
                <w:rFonts w:ascii="Arial" w:hAnsi="Arial" w:cs="Arial"/>
                <w:sz w:val="20"/>
              </w:rPr>
              <w:t xml:space="preserve"> </w:t>
            </w:r>
            <w:r>
              <w:rPr>
                <w:rFonts w:ascii="Arial" w:hAnsi="Arial" w:cs="Arial"/>
                <w:sz w:val="20"/>
              </w:rPr>
              <w:t xml:space="preserve">and HAP </w:t>
            </w:r>
            <w:r w:rsidRPr="00B82844">
              <w:rPr>
                <w:rFonts w:ascii="Arial" w:hAnsi="Arial" w:cs="Arial"/>
                <w:sz w:val="20"/>
              </w:rPr>
              <w:t>Program Manual</w:t>
            </w:r>
            <w:r>
              <w:rPr>
                <w:rFonts w:ascii="Arial" w:hAnsi="Arial" w:cs="Arial"/>
                <w:sz w:val="20"/>
              </w:rPr>
              <w:t>s</w:t>
            </w:r>
            <w:r w:rsidRPr="00B82844">
              <w:rPr>
                <w:rFonts w:ascii="Arial" w:hAnsi="Arial" w:cs="Arial"/>
                <w:sz w:val="20"/>
              </w:rPr>
              <w:t>.</w:t>
            </w:r>
          </w:p>
        </w:tc>
        <w:tc>
          <w:tcPr>
            <w:tcW w:w="843" w:type="dxa"/>
            <w:vAlign w:val="center"/>
          </w:tcPr>
          <w:p w14:paraId="75B6B74B" w14:textId="77777777" w:rsidR="008310BD" w:rsidRDefault="008310BD" w:rsidP="008310BD">
            <w:pPr>
              <w:rPr>
                <w:rFonts w:ascii="Arial" w:hAnsi="Arial" w:cs="Arial"/>
                <w:sz w:val="20"/>
              </w:rPr>
            </w:pPr>
          </w:p>
        </w:tc>
      </w:tr>
      <w:tr w:rsidR="008310BD" w14:paraId="6612A64C" w14:textId="77777777" w:rsidTr="005976AD">
        <w:trPr>
          <w:trHeight w:val="1440"/>
        </w:trPr>
        <w:tc>
          <w:tcPr>
            <w:tcW w:w="10173" w:type="dxa"/>
            <w:vAlign w:val="center"/>
          </w:tcPr>
          <w:p w14:paraId="1323427C" w14:textId="478D3BF7" w:rsidR="008310BD" w:rsidRPr="00890539" w:rsidRDefault="008310BD" w:rsidP="008310BD">
            <w:pPr>
              <w:rPr>
                <w:rFonts w:ascii="Arial" w:hAnsi="Arial" w:cs="Arial"/>
                <w:b/>
                <w:sz w:val="20"/>
              </w:rPr>
            </w:pPr>
            <w:r w:rsidRPr="00B82844">
              <w:rPr>
                <w:rFonts w:ascii="Arial" w:hAnsi="Arial" w:cs="Arial"/>
                <w:b/>
                <w:sz w:val="20"/>
              </w:rPr>
              <w:t>Prohibition Against Involuntary Family Separation and Discrimination</w:t>
            </w:r>
            <w:r w:rsidRPr="00B82844">
              <w:rPr>
                <w:rFonts w:ascii="Arial" w:hAnsi="Arial" w:cs="Arial"/>
                <w:sz w:val="20"/>
              </w:rPr>
              <w:t xml:space="preserve"> – It serves clients regardless of gender identification and sexual orientation, family status, religious belief, or the age of anyone in the household. The agency does not require documentation of family status, gender identification, or sexual orientation (Example: requiring birth certificates, marriage certificates to enter a project).  The agency does not require participation in inherently religious activities, such as worship, religious instruction, or proselytization as part of the projects or services funded under EHH. </w:t>
            </w:r>
          </w:p>
        </w:tc>
        <w:tc>
          <w:tcPr>
            <w:tcW w:w="843" w:type="dxa"/>
            <w:vAlign w:val="center"/>
          </w:tcPr>
          <w:p w14:paraId="4ABA3F13" w14:textId="77777777" w:rsidR="008310BD" w:rsidRDefault="008310BD" w:rsidP="008310BD">
            <w:pPr>
              <w:rPr>
                <w:rFonts w:ascii="Arial" w:hAnsi="Arial" w:cs="Arial"/>
                <w:sz w:val="20"/>
              </w:rPr>
            </w:pPr>
          </w:p>
        </w:tc>
      </w:tr>
      <w:tr w:rsidR="008310BD" w14:paraId="38B2B35B" w14:textId="77777777" w:rsidTr="007A5144">
        <w:trPr>
          <w:trHeight w:val="576"/>
        </w:trPr>
        <w:tc>
          <w:tcPr>
            <w:tcW w:w="10173" w:type="dxa"/>
            <w:vAlign w:val="center"/>
          </w:tcPr>
          <w:p w14:paraId="3C94145C" w14:textId="1AE1FBD0" w:rsidR="008310BD" w:rsidRPr="0018251E" w:rsidRDefault="008310BD" w:rsidP="008310BD">
            <w:pPr>
              <w:rPr>
                <w:rFonts w:ascii="Arial" w:hAnsi="Arial" w:cs="Arial"/>
                <w:sz w:val="20"/>
              </w:rPr>
            </w:pPr>
            <w:r w:rsidRPr="00890539">
              <w:rPr>
                <w:rFonts w:ascii="Arial" w:hAnsi="Arial" w:cs="Arial"/>
                <w:b/>
                <w:bCs/>
                <w:sz w:val="20"/>
              </w:rPr>
              <w:t xml:space="preserve">Section 3 </w:t>
            </w:r>
            <w:r>
              <w:rPr>
                <w:rFonts w:ascii="Arial" w:hAnsi="Arial" w:cs="Arial"/>
                <w:b/>
                <w:bCs/>
                <w:sz w:val="20"/>
              </w:rPr>
              <w:t>–</w:t>
            </w:r>
            <w:r w:rsidRPr="00890539">
              <w:rPr>
                <w:rFonts w:ascii="Arial" w:hAnsi="Arial" w:cs="Arial"/>
                <w:b/>
                <w:bCs/>
                <w:sz w:val="20"/>
              </w:rPr>
              <w:t xml:space="preserve"> </w:t>
            </w:r>
            <w:r w:rsidRPr="00890539">
              <w:rPr>
                <w:rFonts w:ascii="Arial" w:hAnsi="Arial" w:cs="Arial"/>
                <w:sz w:val="20"/>
              </w:rPr>
              <w:t xml:space="preserve">It will comply with </w:t>
            </w:r>
            <w:r>
              <w:rPr>
                <w:rFonts w:ascii="Arial" w:hAnsi="Arial" w:cs="Arial"/>
                <w:sz w:val="20"/>
              </w:rPr>
              <w:t>S</w:t>
            </w:r>
            <w:r w:rsidRPr="00890539">
              <w:rPr>
                <w:rFonts w:ascii="Arial" w:hAnsi="Arial" w:cs="Arial"/>
                <w:sz w:val="20"/>
              </w:rPr>
              <w:t>ection 3 of the Housing and Urban Development Act of 1968 and implementing regulations at 24 CFR Part 135.</w:t>
            </w:r>
          </w:p>
        </w:tc>
        <w:tc>
          <w:tcPr>
            <w:tcW w:w="843" w:type="dxa"/>
            <w:vAlign w:val="center"/>
          </w:tcPr>
          <w:p w14:paraId="17DDF2A7" w14:textId="77777777" w:rsidR="008310BD" w:rsidRDefault="008310BD" w:rsidP="008310BD">
            <w:pPr>
              <w:rPr>
                <w:rFonts w:ascii="Arial" w:hAnsi="Arial" w:cs="Arial"/>
                <w:sz w:val="20"/>
              </w:rPr>
            </w:pPr>
          </w:p>
        </w:tc>
      </w:tr>
      <w:tr w:rsidR="008310BD" w14:paraId="00BA5765" w14:textId="77777777" w:rsidTr="007A5144">
        <w:trPr>
          <w:trHeight w:val="576"/>
        </w:trPr>
        <w:tc>
          <w:tcPr>
            <w:tcW w:w="10173" w:type="dxa"/>
            <w:vAlign w:val="center"/>
          </w:tcPr>
          <w:p w14:paraId="55D34193" w14:textId="6B6FB53B" w:rsidR="008310BD" w:rsidRPr="00890539" w:rsidRDefault="008310BD" w:rsidP="008310BD">
            <w:pPr>
              <w:rPr>
                <w:rFonts w:ascii="Arial" w:hAnsi="Arial" w:cs="Arial"/>
                <w:b/>
                <w:bCs/>
                <w:sz w:val="20"/>
              </w:rPr>
            </w:pPr>
            <w:r w:rsidRPr="00B82844">
              <w:rPr>
                <w:rFonts w:ascii="Arial" w:hAnsi="Arial" w:cs="Arial"/>
                <w:b/>
                <w:bCs/>
                <w:sz w:val="20"/>
              </w:rPr>
              <w:t xml:space="preserve">Subrecipient Agreements </w:t>
            </w:r>
            <w:r w:rsidRPr="00B82844">
              <w:rPr>
                <w:rFonts w:ascii="Arial" w:hAnsi="Arial" w:cs="Arial"/>
                <w:sz w:val="20"/>
              </w:rPr>
              <w:t>– It will execute a subcontract or agreement with all subrecipients of EHH funds, if applicable.</w:t>
            </w:r>
          </w:p>
        </w:tc>
        <w:tc>
          <w:tcPr>
            <w:tcW w:w="843" w:type="dxa"/>
            <w:vAlign w:val="center"/>
          </w:tcPr>
          <w:p w14:paraId="2487970B" w14:textId="77777777" w:rsidR="008310BD" w:rsidRDefault="008310BD" w:rsidP="008310BD">
            <w:pPr>
              <w:rPr>
                <w:rFonts w:ascii="Arial" w:hAnsi="Arial" w:cs="Arial"/>
                <w:sz w:val="20"/>
              </w:rPr>
            </w:pPr>
          </w:p>
        </w:tc>
      </w:tr>
      <w:tr w:rsidR="008310BD" w14:paraId="41BE3704" w14:textId="77777777" w:rsidTr="007A5144">
        <w:trPr>
          <w:trHeight w:val="1008"/>
        </w:trPr>
        <w:tc>
          <w:tcPr>
            <w:tcW w:w="10173" w:type="dxa"/>
            <w:vAlign w:val="center"/>
          </w:tcPr>
          <w:p w14:paraId="59807EBE" w14:textId="400DED5D" w:rsidR="008310BD" w:rsidRDefault="008310BD" w:rsidP="008310BD">
            <w:pPr>
              <w:rPr>
                <w:rFonts w:ascii="Arial" w:hAnsi="Arial" w:cs="Arial"/>
                <w:sz w:val="20"/>
              </w:rPr>
            </w:pPr>
            <w:r w:rsidRPr="00890539">
              <w:rPr>
                <w:rFonts w:ascii="Arial" w:hAnsi="Arial" w:cs="Arial"/>
                <w:b/>
                <w:bCs/>
                <w:sz w:val="20"/>
              </w:rPr>
              <w:t xml:space="preserve">Supportive Services – </w:t>
            </w:r>
            <w:r w:rsidRPr="00890539">
              <w:rPr>
                <w:rFonts w:ascii="Arial" w:hAnsi="Arial" w:cs="Arial"/>
                <w:sz w:val="20"/>
              </w:rPr>
              <w:t>It will assist homeless individuals in obtaining permanent housing, ap</w:t>
            </w:r>
            <w:r>
              <w:rPr>
                <w:rFonts w:ascii="Arial" w:hAnsi="Arial" w:cs="Arial"/>
                <w:sz w:val="20"/>
              </w:rPr>
              <w:t>propriate supportive services (</w:t>
            </w:r>
            <w:r w:rsidRPr="00890539">
              <w:rPr>
                <w:rFonts w:ascii="Arial" w:hAnsi="Arial" w:cs="Arial"/>
                <w:sz w:val="20"/>
              </w:rPr>
              <w:t>including medical and mental health treatment, victim services, counseling, supervision, and other services essential for achieving independent living), and other Federal State, local, and private assistance available for such individuals.</w:t>
            </w:r>
          </w:p>
        </w:tc>
        <w:tc>
          <w:tcPr>
            <w:tcW w:w="843" w:type="dxa"/>
            <w:vAlign w:val="center"/>
          </w:tcPr>
          <w:p w14:paraId="318B22AE" w14:textId="77777777" w:rsidR="008310BD" w:rsidRDefault="008310BD" w:rsidP="008310BD">
            <w:pPr>
              <w:rPr>
                <w:rFonts w:ascii="Arial" w:hAnsi="Arial" w:cs="Arial"/>
                <w:sz w:val="20"/>
              </w:rPr>
            </w:pPr>
          </w:p>
        </w:tc>
      </w:tr>
      <w:tr w:rsidR="008310BD" w14:paraId="44A285B7" w14:textId="77777777" w:rsidTr="008310BD">
        <w:trPr>
          <w:trHeight w:val="576"/>
        </w:trPr>
        <w:tc>
          <w:tcPr>
            <w:tcW w:w="10173" w:type="dxa"/>
            <w:shd w:val="clear" w:color="auto" w:fill="auto"/>
            <w:vAlign w:val="center"/>
          </w:tcPr>
          <w:p w14:paraId="2ECF4935" w14:textId="04931D23" w:rsidR="008310BD" w:rsidRPr="008310BD" w:rsidRDefault="008310BD" w:rsidP="008310BD">
            <w:pPr>
              <w:rPr>
                <w:rFonts w:ascii="Arial" w:hAnsi="Arial" w:cs="Arial"/>
                <w:b/>
                <w:bCs/>
                <w:sz w:val="20"/>
              </w:rPr>
            </w:pPr>
            <w:r w:rsidRPr="008310BD">
              <w:rPr>
                <w:rFonts w:ascii="Arial" w:hAnsi="Arial" w:cs="Arial"/>
                <w:b/>
                <w:bCs/>
                <w:sz w:val="20"/>
              </w:rPr>
              <w:t xml:space="preserve">Termination from Project </w:t>
            </w:r>
            <w:r w:rsidRPr="008310BD">
              <w:rPr>
                <w:rFonts w:ascii="Arial" w:hAnsi="Arial" w:cs="Arial"/>
                <w:sz w:val="20"/>
              </w:rPr>
              <w:t>– It will establish and follow a formal termination process that meets all program requirements.</w:t>
            </w:r>
          </w:p>
        </w:tc>
        <w:tc>
          <w:tcPr>
            <w:tcW w:w="843" w:type="dxa"/>
            <w:vAlign w:val="center"/>
          </w:tcPr>
          <w:p w14:paraId="613836FE" w14:textId="77777777" w:rsidR="008310BD" w:rsidRDefault="008310BD" w:rsidP="008310BD">
            <w:pPr>
              <w:rPr>
                <w:rFonts w:ascii="Arial" w:hAnsi="Arial" w:cs="Arial"/>
                <w:sz w:val="20"/>
              </w:rPr>
            </w:pPr>
          </w:p>
        </w:tc>
      </w:tr>
      <w:tr w:rsidR="008310BD" w14:paraId="52965C55" w14:textId="77777777" w:rsidTr="00B82844">
        <w:trPr>
          <w:trHeight w:val="576"/>
        </w:trPr>
        <w:tc>
          <w:tcPr>
            <w:tcW w:w="10173" w:type="dxa"/>
            <w:shd w:val="clear" w:color="auto" w:fill="auto"/>
            <w:vAlign w:val="center"/>
          </w:tcPr>
          <w:p w14:paraId="429F8840" w14:textId="1BE5A3E3" w:rsidR="008310BD" w:rsidRPr="00B82844" w:rsidRDefault="008310BD" w:rsidP="008310BD">
            <w:pPr>
              <w:rPr>
                <w:rFonts w:ascii="Arial" w:hAnsi="Arial" w:cs="Arial"/>
                <w:b/>
                <w:bCs/>
                <w:sz w:val="20"/>
              </w:rPr>
            </w:pPr>
            <w:r w:rsidRPr="00B82844">
              <w:rPr>
                <w:rFonts w:ascii="Arial" w:hAnsi="Arial" w:cs="Arial"/>
                <w:b/>
                <w:bCs/>
                <w:sz w:val="20"/>
              </w:rPr>
              <w:t xml:space="preserve">WBE/MBE – </w:t>
            </w:r>
            <w:r w:rsidRPr="00B82844">
              <w:rPr>
                <w:rFonts w:ascii="Arial" w:hAnsi="Arial" w:cs="Arial"/>
                <w:sz w:val="20"/>
              </w:rPr>
              <w:t>It will utilize small businesses and women- and minority-owned firms to the greatest extent practicable.</w:t>
            </w:r>
          </w:p>
        </w:tc>
        <w:tc>
          <w:tcPr>
            <w:tcW w:w="843" w:type="dxa"/>
            <w:vAlign w:val="center"/>
          </w:tcPr>
          <w:p w14:paraId="7D3AC4A1" w14:textId="77777777" w:rsidR="008310BD" w:rsidRDefault="008310BD" w:rsidP="008310BD">
            <w:pPr>
              <w:rPr>
                <w:rFonts w:ascii="Arial" w:hAnsi="Arial" w:cs="Arial"/>
                <w:sz w:val="20"/>
              </w:rPr>
            </w:pPr>
          </w:p>
        </w:tc>
      </w:tr>
    </w:tbl>
    <w:p w14:paraId="3E67F531" w14:textId="35363C3B" w:rsidR="00892656" w:rsidRDefault="00892656" w:rsidP="009B3608">
      <w:pPr>
        <w:spacing w:line="240" w:lineRule="auto"/>
        <w:rPr>
          <w:rFonts w:ascii="Arial" w:hAnsi="Arial" w:cs="Arial"/>
          <w:sz w:val="20"/>
        </w:rPr>
      </w:pPr>
    </w:p>
    <w:tbl>
      <w:tblPr>
        <w:tblStyle w:val="TableGrid"/>
        <w:tblW w:w="0" w:type="auto"/>
        <w:tblLook w:val="04A0" w:firstRow="1" w:lastRow="0" w:firstColumn="1" w:lastColumn="0" w:noHBand="0" w:noVBand="1"/>
      </w:tblPr>
      <w:tblGrid>
        <w:gridCol w:w="9947"/>
        <w:gridCol w:w="843"/>
      </w:tblGrid>
      <w:tr w:rsidR="0046508E" w14:paraId="2C13CA55" w14:textId="77777777" w:rsidTr="00CE4662">
        <w:tc>
          <w:tcPr>
            <w:tcW w:w="10173" w:type="dxa"/>
            <w:shd w:val="clear" w:color="auto" w:fill="D9D9D9" w:themeFill="background1" w:themeFillShade="D9"/>
          </w:tcPr>
          <w:p w14:paraId="4E0A31C7" w14:textId="74239E3B" w:rsidR="0046508E" w:rsidRPr="004E2D98" w:rsidRDefault="0046508E" w:rsidP="0046508E">
            <w:pPr>
              <w:jc w:val="center"/>
              <w:rPr>
                <w:rFonts w:ascii="Arial" w:hAnsi="Arial" w:cs="Arial"/>
                <w:b/>
                <w:bCs/>
                <w:sz w:val="24"/>
                <w:szCs w:val="24"/>
              </w:rPr>
            </w:pPr>
            <w:r w:rsidRPr="004E2D98">
              <w:rPr>
                <w:rFonts w:ascii="Arial" w:hAnsi="Arial" w:cs="Arial"/>
                <w:b/>
                <w:bCs/>
                <w:sz w:val="24"/>
                <w:szCs w:val="24"/>
              </w:rPr>
              <w:lastRenderedPageBreak/>
              <w:t>ESG-Only Certifications</w:t>
            </w:r>
            <w:r w:rsidR="00892656">
              <w:rPr>
                <w:rFonts w:ascii="Arial" w:hAnsi="Arial" w:cs="Arial"/>
                <w:b/>
                <w:bCs/>
                <w:sz w:val="24"/>
                <w:szCs w:val="24"/>
              </w:rPr>
              <w:t>*</w:t>
            </w:r>
          </w:p>
        </w:tc>
        <w:tc>
          <w:tcPr>
            <w:tcW w:w="843" w:type="dxa"/>
            <w:shd w:val="clear" w:color="auto" w:fill="D9D9D9" w:themeFill="background1" w:themeFillShade="D9"/>
          </w:tcPr>
          <w:p w14:paraId="7824851E" w14:textId="07749F83" w:rsidR="0046508E" w:rsidRPr="004E2D98" w:rsidRDefault="004E2D98" w:rsidP="004E2D98">
            <w:pPr>
              <w:jc w:val="center"/>
              <w:rPr>
                <w:rFonts w:ascii="Arial" w:hAnsi="Arial" w:cs="Arial"/>
                <w:b/>
                <w:bCs/>
                <w:sz w:val="24"/>
                <w:szCs w:val="24"/>
              </w:rPr>
            </w:pPr>
            <w:r>
              <w:rPr>
                <w:rFonts w:ascii="Arial" w:hAnsi="Arial" w:cs="Arial"/>
                <w:b/>
                <w:bCs/>
                <w:sz w:val="24"/>
                <w:szCs w:val="24"/>
              </w:rPr>
              <w:t>Initial</w:t>
            </w:r>
          </w:p>
        </w:tc>
      </w:tr>
      <w:tr w:rsidR="002E2FCB" w14:paraId="6F387713" w14:textId="77777777" w:rsidTr="002E2FCB">
        <w:trPr>
          <w:trHeight w:val="576"/>
        </w:trPr>
        <w:tc>
          <w:tcPr>
            <w:tcW w:w="10173" w:type="dxa"/>
            <w:vAlign w:val="center"/>
          </w:tcPr>
          <w:p w14:paraId="1C13BB42" w14:textId="67A4667C" w:rsidR="002E2FCB" w:rsidRPr="00890539" w:rsidRDefault="002E2FCB" w:rsidP="002E2FCB">
            <w:pPr>
              <w:rPr>
                <w:rFonts w:ascii="Arial" w:hAnsi="Arial" w:cs="Arial"/>
                <w:b/>
                <w:bCs/>
                <w:sz w:val="20"/>
              </w:rPr>
            </w:pPr>
            <w:r w:rsidRPr="00B82844">
              <w:rPr>
                <w:rFonts w:ascii="Arial" w:hAnsi="Arial" w:cs="Arial"/>
                <w:b/>
                <w:bCs/>
                <w:sz w:val="20"/>
              </w:rPr>
              <w:t xml:space="preserve">Consumer Participation </w:t>
            </w:r>
            <w:r w:rsidRPr="00B82844">
              <w:rPr>
                <w:rFonts w:ascii="Arial" w:hAnsi="Arial" w:cs="Arial"/>
                <w:sz w:val="20"/>
              </w:rPr>
              <w:t>– To the maximum extent practicable, the entity will encourage the participation of individuals and families who are homeless in maintaining and operating their facilities and programs.</w:t>
            </w:r>
          </w:p>
        </w:tc>
        <w:tc>
          <w:tcPr>
            <w:tcW w:w="843" w:type="dxa"/>
            <w:vAlign w:val="center"/>
          </w:tcPr>
          <w:p w14:paraId="3C038CAC" w14:textId="77777777" w:rsidR="002E2FCB" w:rsidRDefault="002E2FCB" w:rsidP="002E2FCB">
            <w:pPr>
              <w:rPr>
                <w:rFonts w:ascii="Arial" w:hAnsi="Arial" w:cs="Arial"/>
                <w:sz w:val="20"/>
              </w:rPr>
            </w:pPr>
          </w:p>
        </w:tc>
      </w:tr>
      <w:tr w:rsidR="002E2FCB" w14:paraId="1767B665" w14:textId="77777777" w:rsidTr="002E2FCB">
        <w:trPr>
          <w:trHeight w:val="576"/>
        </w:trPr>
        <w:tc>
          <w:tcPr>
            <w:tcW w:w="10173" w:type="dxa"/>
            <w:vAlign w:val="center"/>
          </w:tcPr>
          <w:p w14:paraId="18F39308" w14:textId="0DD9C67F" w:rsidR="002E2FCB" w:rsidRPr="00890539" w:rsidRDefault="002E2FCB" w:rsidP="002E2FCB">
            <w:pPr>
              <w:rPr>
                <w:rFonts w:ascii="Arial" w:hAnsi="Arial" w:cs="Arial"/>
                <w:b/>
                <w:bCs/>
                <w:sz w:val="20"/>
              </w:rPr>
            </w:pPr>
            <w:r w:rsidRPr="00B82844">
              <w:rPr>
                <w:rFonts w:ascii="Arial" w:hAnsi="Arial" w:cs="Arial"/>
                <w:b/>
                <w:sz w:val="20"/>
              </w:rPr>
              <w:t>Coordinated Entry</w:t>
            </w:r>
            <w:r w:rsidRPr="00B82844">
              <w:rPr>
                <w:rFonts w:ascii="Arial" w:hAnsi="Arial" w:cs="Arial"/>
                <w:sz w:val="20"/>
              </w:rPr>
              <w:t xml:space="preserve"> – It participates in the use of coordinated entry established by the area’s Continuum of Care</w:t>
            </w:r>
            <w:r w:rsidR="00AC2C75">
              <w:rPr>
                <w:rFonts w:ascii="Arial" w:hAnsi="Arial" w:cs="Arial"/>
                <w:sz w:val="20"/>
              </w:rPr>
              <w:t xml:space="preserve">. </w:t>
            </w:r>
            <w:r w:rsidR="00AC2C75" w:rsidRPr="00AC2C75">
              <w:rPr>
                <w:rFonts w:ascii="Arial" w:hAnsi="Arial" w:cs="Arial"/>
                <w:i/>
                <w:iCs/>
                <w:sz w:val="20"/>
              </w:rPr>
              <w:t>Victim</w:t>
            </w:r>
            <w:r w:rsidR="006A12E9">
              <w:rPr>
                <w:rFonts w:ascii="Arial" w:hAnsi="Arial" w:cs="Arial"/>
                <w:i/>
                <w:iCs/>
                <w:sz w:val="20"/>
              </w:rPr>
              <w:t xml:space="preserve"> </w:t>
            </w:r>
            <w:r w:rsidR="00AC2C75" w:rsidRPr="00AC2C75">
              <w:rPr>
                <w:rFonts w:ascii="Arial" w:hAnsi="Arial" w:cs="Arial"/>
                <w:i/>
                <w:iCs/>
                <w:sz w:val="20"/>
              </w:rPr>
              <w:t xml:space="preserve">service </w:t>
            </w:r>
            <w:r w:rsidR="006A12E9">
              <w:rPr>
                <w:rFonts w:ascii="Arial" w:hAnsi="Arial" w:cs="Arial"/>
                <w:i/>
                <w:iCs/>
                <w:sz w:val="20"/>
              </w:rPr>
              <w:t>providers</w:t>
            </w:r>
            <w:r w:rsidR="00AC2C75" w:rsidRPr="00AC2C75">
              <w:rPr>
                <w:rFonts w:ascii="Arial" w:hAnsi="Arial" w:cs="Arial"/>
                <w:i/>
                <w:iCs/>
                <w:sz w:val="20"/>
              </w:rPr>
              <w:t xml:space="preserve"> may choose not to</w:t>
            </w:r>
            <w:r w:rsidR="006A12E9">
              <w:rPr>
                <w:rFonts w:ascii="Arial" w:hAnsi="Arial" w:cs="Arial"/>
                <w:i/>
                <w:iCs/>
                <w:sz w:val="20"/>
              </w:rPr>
              <w:t xml:space="preserve"> use the CoC’s system.</w:t>
            </w:r>
          </w:p>
        </w:tc>
        <w:tc>
          <w:tcPr>
            <w:tcW w:w="843" w:type="dxa"/>
            <w:vAlign w:val="center"/>
          </w:tcPr>
          <w:p w14:paraId="535C4FA1" w14:textId="77777777" w:rsidR="002E2FCB" w:rsidRDefault="002E2FCB" w:rsidP="002E2FCB">
            <w:pPr>
              <w:rPr>
                <w:rFonts w:ascii="Arial" w:hAnsi="Arial" w:cs="Arial"/>
                <w:sz w:val="20"/>
              </w:rPr>
            </w:pPr>
          </w:p>
        </w:tc>
      </w:tr>
      <w:tr w:rsidR="002E2FCB" w14:paraId="08C687AB" w14:textId="77777777" w:rsidTr="002E2FCB">
        <w:trPr>
          <w:trHeight w:val="1296"/>
        </w:trPr>
        <w:tc>
          <w:tcPr>
            <w:tcW w:w="10173" w:type="dxa"/>
            <w:vAlign w:val="center"/>
          </w:tcPr>
          <w:p w14:paraId="25EB26C7" w14:textId="5BC86A86" w:rsidR="002E2FCB" w:rsidRPr="00890539" w:rsidRDefault="002E2FCB" w:rsidP="002E2FCB">
            <w:pPr>
              <w:rPr>
                <w:rFonts w:ascii="Arial" w:hAnsi="Arial" w:cs="Arial"/>
                <w:b/>
                <w:bCs/>
                <w:sz w:val="20"/>
              </w:rPr>
            </w:pPr>
            <w:r w:rsidRPr="00890539">
              <w:rPr>
                <w:rFonts w:ascii="Arial" w:hAnsi="Arial" w:cs="Arial"/>
                <w:b/>
                <w:bCs/>
                <w:sz w:val="20"/>
              </w:rPr>
              <w:t xml:space="preserve">Essential Services and Operating Costs – </w:t>
            </w:r>
            <w:r w:rsidRPr="00890539">
              <w:rPr>
                <w:rFonts w:ascii="Arial" w:hAnsi="Arial" w:cs="Arial"/>
                <w:sz w:val="20"/>
              </w:rPr>
              <w:t>In the case of assistance involving shelter operations or essential services related to street outreach or emergency shelter, the entity will provide services or shelter to homeless individuals and families for the period during which the ESG assistance is provided, without regard to a particular site or structure, so long the entity serves the same type of persons (e.g., families with children, unaccompanied youth, disabled individuals, or victims of domestic violence) or persons in the same geographic area.</w:t>
            </w:r>
          </w:p>
        </w:tc>
        <w:tc>
          <w:tcPr>
            <w:tcW w:w="843" w:type="dxa"/>
            <w:vAlign w:val="center"/>
          </w:tcPr>
          <w:p w14:paraId="493B7363" w14:textId="77777777" w:rsidR="002E2FCB" w:rsidRDefault="002E2FCB" w:rsidP="002E2FCB">
            <w:pPr>
              <w:rPr>
                <w:rFonts w:ascii="Arial" w:hAnsi="Arial" w:cs="Arial"/>
                <w:sz w:val="20"/>
              </w:rPr>
            </w:pPr>
          </w:p>
        </w:tc>
      </w:tr>
      <w:tr w:rsidR="002E2FCB" w14:paraId="6C3C07AA" w14:textId="77777777" w:rsidTr="002E2FCB">
        <w:trPr>
          <w:trHeight w:val="864"/>
        </w:trPr>
        <w:tc>
          <w:tcPr>
            <w:tcW w:w="10173" w:type="dxa"/>
            <w:vAlign w:val="center"/>
          </w:tcPr>
          <w:p w14:paraId="08BAFB40" w14:textId="699595EF" w:rsidR="002E2FCB" w:rsidRPr="00890539" w:rsidRDefault="002E2FCB" w:rsidP="002E2FCB">
            <w:pPr>
              <w:rPr>
                <w:rFonts w:ascii="Arial" w:hAnsi="Arial" w:cs="Arial"/>
                <w:b/>
                <w:bCs/>
                <w:sz w:val="20"/>
              </w:rPr>
            </w:pPr>
            <w:r w:rsidRPr="00890539">
              <w:rPr>
                <w:rFonts w:ascii="Arial" w:hAnsi="Arial" w:cs="Arial"/>
                <w:b/>
                <w:bCs/>
                <w:sz w:val="20"/>
              </w:rPr>
              <w:t xml:space="preserve">Homeless Persons Involvement – </w:t>
            </w:r>
            <w:r w:rsidRPr="00890539">
              <w:rPr>
                <w:rFonts w:ascii="Arial" w:hAnsi="Arial" w:cs="Arial"/>
                <w:sz w:val="20"/>
              </w:rPr>
              <w:t xml:space="preserve">To the maximum extent practicable, the entity </w:t>
            </w:r>
            <w:r>
              <w:rPr>
                <w:rFonts w:ascii="Arial" w:hAnsi="Arial" w:cs="Arial"/>
                <w:sz w:val="20"/>
              </w:rPr>
              <w:t>must have representation of a person who is homeless or was formerly homeless on the board of directors or policymaking entity directly responsible for making policy for the project(s) for which funding is being requested</w:t>
            </w:r>
            <w:r w:rsidRPr="00890539">
              <w:rPr>
                <w:rFonts w:ascii="Arial" w:hAnsi="Arial" w:cs="Arial"/>
                <w:sz w:val="20"/>
              </w:rPr>
              <w:t>.</w:t>
            </w:r>
            <w:r>
              <w:rPr>
                <w:rFonts w:ascii="Arial" w:hAnsi="Arial" w:cs="Arial"/>
                <w:sz w:val="20"/>
              </w:rPr>
              <w:t xml:space="preserve"> </w:t>
            </w:r>
          </w:p>
        </w:tc>
        <w:tc>
          <w:tcPr>
            <w:tcW w:w="843" w:type="dxa"/>
            <w:vAlign w:val="center"/>
          </w:tcPr>
          <w:p w14:paraId="084578E8" w14:textId="77777777" w:rsidR="002E2FCB" w:rsidRDefault="002E2FCB" w:rsidP="002E2FCB">
            <w:pPr>
              <w:rPr>
                <w:rFonts w:ascii="Arial" w:hAnsi="Arial" w:cs="Arial"/>
                <w:sz w:val="20"/>
              </w:rPr>
            </w:pPr>
          </w:p>
        </w:tc>
      </w:tr>
      <w:tr w:rsidR="002E2FCB" w14:paraId="2F2BD766" w14:textId="77777777" w:rsidTr="002E2FCB">
        <w:trPr>
          <w:trHeight w:val="1728"/>
        </w:trPr>
        <w:tc>
          <w:tcPr>
            <w:tcW w:w="10173" w:type="dxa"/>
            <w:vAlign w:val="center"/>
          </w:tcPr>
          <w:p w14:paraId="396674B6" w14:textId="533BDF25" w:rsidR="002E2FCB" w:rsidRPr="00890539" w:rsidRDefault="002E2FCB" w:rsidP="002E2FCB">
            <w:pPr>
              <w:rPr>
                <w:rFonts w:ascii="Arial" w:hAnsi="Arial" w:cs="Arial"/>
                <w:b/>
                <w:bCs/>
                <w:sz w:val="20"/>
              </w:rPr>
            </w:pPr>
            <w:r w:rsidRPr="00890539">
              <w:rPr>
                <w:rFonts w:ascii="Arial" w:hAnsi="Arial" w:cs="Arial"/>
                <w:b/>
                <w:bCs/>
                <w:sz w:val="20"/>
              </w:rPr>
              <w:t xml:space="preserve">Major </w:t>
            </w:r>
            <w:r>
              <w:rPr>
                <w:rFonts w:ascii="Arial" w:hAnsi="Arial" w:cs="Arial"/>
                <w:b/>
                <w:bCs/>
                <w:sz w:val="20"/>
              </w:rPr>
              <w:t>R</w:t>
            </w:r>
            <w:r w:rsidRPr="00890539">
              <w:rPr>
                <w:rFonts w:ascii="Arial" w:hAnsi="Arial" w:cs="Arial"/>
                <w:b/>
                <w:bCs/>
                <w:sz w:val="20"/>
              </w:rPr>
              <w:t>ehabilitation/</w:t>
            </w:r>
            <w:r>
              <w:rPr>
                <w:rFonts w:ascii="Arial" w:hAnsi="Arial" w:cs="Arial"/>
                <w:b/>
                <w:bCs/>
                <w:sz w:val="20"/>
              </w:rPr>
              <w:t>C</w:t>
            </w:r>
            <w:r w:rsidRPr="00890539">
              <w:rPr>
                <w:rFonts w:ascii="Arial" w:hAnsi="Arial" w:cs="Arial"/>
                <w:b/>
                <w:bCs/>
                <w:sz w:val="20"/>
              </w:rPr>
              <w:t xml:space="preserve">onversion – </w:t>
            </w:r>
            <w:r w:rsidRPr="00890539">
              <w:rPr>
                <w:rFonts w:ascii="Arial" w:hAnsi="Arial" w:cs="Arial"/>
                <w:sz w:val="20"/>
              </w:rPr>
              <w:t>If an emergency shelter’s rehabilitation or conversion costs exceed 75 percent of the value of the building before rehabilitation or conversion, the entity will maintain the building as a shelter for homeless individuals and families for a minimum of 10 years after the date the building is first occupied by a homeless individual or family after the completed project. In all other cases where ESG funds are used for renovation, the entity will maintain the building as a shelter for homeless individuals and families for a minimum of 3 years after the date the building is first occupied by a homeless individual or family after the completed renovation.</w:t>
            </w:r>
          </w:p>
        </w:tc>
        <w:tc>
          <w:tcPr>
            <w:tcW w:w="843" w:type="dxa"/>
            <w:vAlign w:val="center"/>
          </w:tcPr>
          <w:p w14:paraId="2A9848C1" w14:textId="77777777" w:rsidR="002E2FCB" w:rsidRDefault="002E2FCB" w:rsidP="002E2FCB">
            <w:pPr>
              <w:rPr>
                <w:rFonts w:ascii="Arial" w:hAnsi="Arial" w:cs="Arial"/>
                <w:sz w:val="20"/>
              </w:rPr>
            </w:pPr>
          </w:p>
        </w:tc>
      </w:tr>
      <w:tr w:rsidR="002E2FCB" w14:paraId="10860CBF" w14:textId="77777777" w:rsidTr="002E2FCB">
        <w:trPr>
          <w:trHeight w:val="432"/>
        </w:trPr>
        <w:tc>
          <w:tcPr>
            <w:tcW w:w="10173" w:type="dxa"/>
            <w:vAlign w:val="center"/>
          </w:tcPr>
          <w:p w14:paraId="090A1B2E" w14:textId="0E0157CE" w:rsidR="002E2FCB" w:rsidRPr="00890539" w:rsidRDefault="002E2FCB" w:rsidP="002E2FCB">
            <w:pPr>
              <w:rPr>
                <w:rFonts w:ascii="Arial" w:hAnsi="Arial" w:cs="Arial"/>
                <w:b/>
                <w:bCs/>
                <w:sz w:val="20"/>
              </w:rPr>
            </w:pPr>
            <w:r w:rsidRPr="00890539">
              <w:rPr>
                <w:rFonts w:ascii="Arial" w:hAnsi="Arial" w:cs="Arial"/>
                <w:b/>
                <w:bCs/>
                <w:sz w:val="20"/>
              </w:rPr>
              <w:t xml:space="preserve">Matching Funds – </w:t>
            </w:r>
            <w:r w:rsidRPr="00890539">
              <w:rPr>
                <w:rFonts w:ascii="Arial" w:hAnsi="Arial" w:cs="Arial"/>
                <w:sz w:val="20"/>
              </w:rPr>
              <w:t>It will obtain matching amounts required under 24 CFR 576.201.</w:t>
            </w:r>
          </w:p>
        </w:tc>
        <w:tc>
          <w:tcPr>
            <w:tcW w:w="843" w:type="dxa"/>
            <w:vAlign w:val="center"/>
          </w:tcPr>
          <w:p w14:paraId="63C17A84" w14:textId="77777777" w:rsidR="002E2FCB" w:rsidRDefault="002E2FCB" w:rsidP="002E2FCB">
            <w:pPr>
              <w:rPr>
                <w:rFonts w:ascii="Arial" w:hAnsi="Arial" w:cs="Arial"/>
                <w:sz w:val="20"/>
              </w:rPr>
            </w:pPr>
          </w:p>
        </w:tc>
      </w:tr>
      <w:tr w:rsidR="002E2FCB" w14:paraId="0F373F23" w14:textId="77777777" w:rsidTr="007A5144">
        <w:trPr>
          <w:trHeight w:val="576"/>
        </w:trPr>
        <w:tc>
          <w:tcPr>
            <w:tcW w:w="10173" w:type="dxa"/>
            <w:vAlign w:val="center"/>
          </w:tcPr>
          <w:p w14:paraId="47F61F97" w14:textId="4223A230" w:rsidR="002E2FCB" w:rsidRDefault="002E2FCB" w:rsidP="002E2FCB">
            <w:pPr>
              <w:rPr>
                <w:rFonts w:ascii="Arial" w:hAnsi="Arial" w:cs="Arial"/>
                <w:sz w:val="20"/>
              </w:rPr>
            </w:pPr>
            <w:r w:rsidRPr="00890539">
              <w:rPr>
                <w:rFonts w:ascii="Arial" w:hAnsi="Arial" w:cs="Arial"/>
                <w:b/>
                <w:bCs/>
                <w:sz w:val="20"/>
              </w:rPr>
              <w:t xml:space="preserve">Renovation – </w:t>
            </w:r>
            <w:r w:rsidRPr="00890539">
              <w:rPr>
                <w:rFonts w:ascii="Arial" w:hAnsi="Arial" w:cs="Arial"/>
                <w:sz w:val="20"/>
              </w:rPr>
              <w:t>Any renovation carried out with ESG assistance shall be sufficient to ensure that the building involved is safe and sanitary.</w:t>
            </w:r>
          </w:p>
        </w:tc>
        <w:tc>
          <w:tcPr>
            <w:tcW w:w="843" w:type="dxa"/>
            <w:vAlign w:val="center"/>
          </w:tcPr>
          <w:p w14:paraId="4826AFE8" w14:textId="77777777" w:rsidR="002E2FCB" w:rsidRDefault="002E2FCB" w:rsidP="002E2FCB">
            <w:pPr>
              <w:rPr>
                <w:rFonts w:ascii="Arial" w:hAnsi="Arial" w:cs="Arial"/>
                <w:sz w:val="20"/>
              </w:rPr>
            </w:pPr>
          </w:p>
        </w:tc>
      </w:tr>
      <w:tr w:rsidR="002E2FCB" w14:paraId="21636129" w14:textId="77777777" w:rsidTr="007A5144">
        <w:trPr>
          <w:trHeight w:val="432"/>
        </w:trPr>
        <w:tc>
          <w:tcPr>
            <w:tcW w:w="10173" w:type="dxa"/>
            <w:vAlign w:val="center"/>
          </w:tcPr>
          <w:p w14:paraId="34043402" w14:textId="7FF4B713" w:rsidR="002E2FCB" w:rsidRDefault="002E2FCB" w:rsidP="002E2FCB">
            <w:pPr>
              <w:rPr>
                <w:rFonts w:ascii="Arial" w:hAnsi="Arial" w:cs="Arial"/>
                <w:sz w:val="20"/>
              </w:rPr>
            </w:pPr>
            <w:r w:rsidRPr="00B82844">
              <w:rPr>
                <w:rFonts w:ascii="Arial" w:hAnsi="Arial" w:cs="Arial"/>
                <w:b/>
                <w:bCs/>
                <w:sz w:val="20"/>
              </w:rPr>
              <w:t xml:space="preserve">VAWA </w:t>
            </w:r>
            <w:r w:rsidRPr="00B82844">
              <w:rPr>
                <w:rFonts w:ascii="Arial" w:hAnsi="Arial" w:cs="Arial"/>
                <w:sz w:val="20"/>
              </w:rPr>
              <w:t>– It complies with the Violence Against Women Act.</w:t>
            </w:r>
          </w:p>
        </w:tc>
        <w:tc>
          <w:tcPr>
            <w:tcW w:w="843" w:type="dxa"/>
            <w:vAlign w:val="center"/>
          </w:tcPr>
          <w:p w14:paraId="204C1236" w14:textId="77777777" w:rsidR="002E2FCB" w:rsidRDefault="002E2FCB" w:rsidP="002E2FCB">
            <w:pPr>
              <w:rPr>
                <w:rFonts w:ascii="Arial" w:hAnsi="Arial" w:cs="Arial"/>
                <w:sz w:val="20"/>
              </w:rPr>
            </w:pPr>
          </w:p>
        </w:tc>
      </w:tr>
      <w:tr w:rsidR="002E2FCB" w14:paraId="65E6ACA4" w14:textId="77777777" w:rsidTr="0039470A">
        <w:trPr>
          <w:trHeight w:val="576"/>
        </w:trPr>
        <w:tc>
          <w:tcPr>
            <w:tcW w:w="10173" w:type="dxa"/>
            <w:vAlign w:val="center"/>
          </w:tcPr>
          <w:p w14:paraId="52EBD329" w14:textId="0A26994B" w:rsidR="002E2FCB" w:rsidRPr="00B82844" w:rsidRDefault="002E2FCB" w:rsidP="002E2FCB">
            <w:pPr>
              <w:rPr>
                <w:rFonts w:ascii="Arial" w:hAnsi="Arial" w:cs="Arial"/>
                <w:b/>
                <w:bCs/>
                <w:sz w:val="20"/>
              </w:rPr>
            </w:pPr>
            <w:r w:rsidRPr="00B82844">
              <w:rPr>
                <w:rFonts w:ascii="Arial" w:hAnsi="Arial" w:cs="Arial"/>
                <w:b/>
                <w:bCs/>
                <w:sz w:val="20"/>
              </w:rPr>
              <w:t xml:space="preserve">Written Standards </w:t>
            </w:r>
            <w:r w:rsidRPr="00B82844">
              <w:rPr>
                <w:rFonts w:ascii="Arial" w:hAnsi="Arial" w:cs="Arial"/>
                <w:sz w:val="20"/>
              </w:rPr>
              <w:t xml:space="preserve">– It complies with the </w:t>
            </w:r>
            <w:r w:rsidR="0039470A">
              <w:rPr>
                <w:rFonts w:ascii="Arial" w:hAnsi="Arial" w:cs="Arial"/>
                <w:sz w:val="20"/>
              </w:rPr>
              <w:t xml:space="preserve">applicable </w:t>
            </w:r>
            <w:r w:rsidRPr="00B82844">
              <w:rPr>
                <w:rFonts w:ascii="Arial" w:hAnsi="Arial" w:cs="Arial"/>
                <w:sz w:val="20"/>
              </w:rPr>
              <w:t>written standards established by the area’s Continuum of Care</w:t>
            </w:r>
            <w:r w:rsidR="0039470A">
              <w:rPr>
                <w:rFonts w:ascii="Arial" w:hAnsi="Arial" w:cs="Arial"/>
                <w:sz w:val="20"/>
              </w:rPr>
              <w:t>.</w:t>
            </w:r>
          </w:p>
        </w:tc>
        <w:tc>
          <w:tcPr>
            <w:tcW w:w="843" w:type="dxa"/>
            <w:vAlign w:val="center"/>
          </w:tcPr>
          <w:p w14:paraId="3C10A715" w14:textId="77777777" w:rsidR="002E2FCB" w:rsidRDefault="002E2FCB" w:rsidP="002E2FCB">
            <w:pPr>
              <w:rPr>
                <w:rFonts w:ascii="Arial" w:hAnsi="Arial" w:cs="Arial"/>
                <w:sz w:val="20"/>
              </w:rPr>
            </w:pPr>
          </w:p>
        </w:tc>
      </w:tr>
    </w:tbl>
    <w:p w14:paraId="0DB826AC" w14:textId="64BE01E4" w:rsidR="00892656" w:rsidRPr="00892656" w:rsidRDefault="00892656" w:rsidP="00892656">
      <w:pPr>
        <w:spacing w:before="60" w:after="0" w:line="240" w:lineRule="auto"/>
        <w:rPr>
          <w:rFonts w:ascii="Arial" w:hAnsi="Arial" w:cs="Arial"/>
          <w:i/>
          <w:iCs/>
          <w:sz w:val="20"/>
        </w:rPr>
      </w:pPr>
      <w:r w:rsidRPr="00892656">
        <w:rPr>
          <w:rFonts w:ascii="Arial" w:hAnsi="Arial" w:cs="Arial"/>
          <w:i/>
          <w:iCs/>
          <w:sz w:val="20"/>
        </w:rPr>
        <w:t>*Also appl</w:t>
      </w:r>
      <w:r>
        <w:rPr>
          <w:rFonts w:ascii="Arial" w:hAnsi="Arial" w:cs="Arial"/>
          <w:i/>
          <w:iCs/>
          <w:sz w:val="20"/>
        </w:rPr>
        <w:t>y</w:t>
      </w:r>
      <w:r w:rsidRPr="00892656">
        <w:rPr>
          <w:rFonts w:ascii="Arial" w:hAnsi="Arial" w:cs="Arial"/>
          <w:i/>
          <w:iCs/>
          <w:sz w:val="20"/>
        </w:rPr>
        <w:t xml:space="preserve"> to all funds used as match to ESG.</w:t>
      </w:r>
    </w:p>
    <w:p w14:paraId="425253B4" w14:textId="77777777" w:rsidR="00892656" w:rsidRDefault="00892656" w:rsidP="00CC5FB4">
      <w:pPr>
        <w:spacing w:after="0" w:line="240" w:lineRule="auto"/>
        <w:rPr>
          <w:rFonts w:ascii="Arial" w:hAnsi="Arial" w:cs="Arial"/>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gridCol w:w="236"/>
        <w:gridCol w:w="2057"/>
        <w:gridCol w:w="11"/>
      </w:tblGrid>
      <w:tr w:rsidR="00C33806" w14:paraId="717F8495" w14:textId="539799CF" w:rsidTr="0022648B">
        <w:trPr>
          <w:trHeight w:val="432"/>
          <w:jc w:val="center"/>
        </w:trPr>
        <w:tc>
          <w:tcPr>
            <w:tcW w:w="9235" w:type="dxa"/>
            <w:gridSpan w:val="4"/>
            <w:tcBorders>
              <w:bottom w:val="single" w:sz="4" w:space="0" w:color="auto"/>
            </w:tcBorders>
            <w:vAlign w:val="bottom"/>
          </w:tcPr>
          <w:p w14:paraId="79F47875" w14:textId="3425E2C2" w:rsidR="00C33806" w:rsidRDefault="00C33806" w:rsidP="00C33806">
            <w:pPr>
              <w:rPr>
                <w:rFonts w:ascii="Arial" w:hAnsi="Arial" w:cs="Arial"/>
                <w:sz w:val="20"/>
              </w:rPr>
            </w:pPr>
          </w:p>
        </w:tc>
      </w:tr>
      <w:tr w:rsidR="00C33806" w14:paraId="789D85B6" w14:textId="32BE0DAD" w:rsidTr="0022648B">
        <w:trPr>
          <w:trHeight w:val="288"/>
          <w:jc w:val="center"/>
        </w:trPr>
        <w:tc>
          <w:tcPr>
            <w:tcW w:w="9235" w:type="dxa"/>
            <w:gridSpan w:val="4"/>
            <w:tcBorders>
              <w:top w:val="single" w:sz="4" w:space="0" w:color="auto"/>
            </w:tcBorders>
          </w:tcPr>
          <w:p w14:paraId="401F725A" w14:textId="74EC56D7" w:rsidR="00C33806" w:rsidRPr="0022648B" w:rsidRDefault="00C33806" w:rsidP="00CC5FB4">
            <w:pPr>
              <w:rPr>
                <w:rFonts w:ascii="Arial" w:hAnsi="Arial" w:cs="Arial"/>
                <w:b/>
                <w:i/>
                <w:iCs/>
                <w:sz w:val="20"/>
              </w:rPr>
            </w:pPr>
            <w:r w:rsidRPr="0022648B">
              <w:rPr>
                <w:rFonts w:ascii="Arial" w:hAnsi="Arial" w:cs="Arial"/>
                <w:b/>
                <w:i/>
                <w:iCs/>
                <w:sz w:val="18"/>
                <w:szCs w:val="20"/>
              </w:rPr>
              <w:t>Agency</w:t>
            </w:r>
          </w:p>
        </w:tc>
      </w:tr>
      <w:tr w:rsidR="00C33806" w14:paraId="5BD95FB2" w14:textId="1172ABA2" w:rsidTr="0022648B">
        <w:trPr>
          <w:trHeight w:val="432"/>
          <w:jc w:val="center"/>
        </w:trPr>
        <w:tc>
          <w:tcPr>
            <w:tcW w:w="9235" w:type="dxa"/>
            <w:gridSpan w:val="4"/>
            <w:tcBorders>
              <w:bottom w:val="single" w:sz="4" w:space="0" w:color="auto"/>
            </w:tcBorders>
            <w:vAlign w:val="bottom"/>
          </w:tcPr>
          <w:p w14:paraId="772F1D85" w14:textId="7DD01E43" w:rsidR="00C33806" w:rsidRDefault="00C33806" w:rsidP="00C33806">
            <w:pPr>
              <w:rPr>
                <w:rFonts w:ascii="Arial" w:hAnsi="Arial" w:cs="Arial"/>
                <w:sz w:val="20"/>
              </w:rPr>
            </w:pPr>
          </w:p>
        </w:tc>
      </w:tr>
      <w:tr w:rsidR="00C33806" w14:paraId="6AD29AF0" w14:textId="658C75F1" w:rsidTr="0069253C">
        <w:trPr>
          <w:trHeight w:val="288"/>
          <w:jc w:val="center"/>
        </w:trPr>
        <w:tc>
          <w:tcPr>
            <w:tcW w:w="9235" w:type="dxa"/>
            <w:gridSpan w:val="4"/>
            <w:tcBorders>
              <w:top w:val="single" w:sz="4" w:space="0" w:color="auto"/>
            </w:tcBorders>
          </w:tcPr>
          <w:p w14:paraId="58959DDA" w14:textId="136FD656" w:rsidR="00C33806" w:rsidRPr="00636837" w:rsidRDefault="00C33806" w:rsidP="00CC5FB4">
            <w:pPr>
              <w:rPr>
                <w:rFonts w:ascii="Arial" w:hAnsi="Arial" w:cs="Arial"/>
                <w:b/>
                <w:i/>
                <w:iCs/>
                <w:sz w:val="18"/>
                <w:szCs w:val="20"/>
              </w:rPr>
            </w:pPr>
            <w:r w:rsidRPr="00636837">
              <w:rPr>
                <w:rFonts w:ascii="Arial" w:hAnsi="Arial" w:cs="Arial"/>
                <w:b/>
                <w:i/>
                <w:iCs/>
                <w:sz w:val="18"/>
                <w:szCs w:val="20"/>
              </w:rPr>
              <w:t>Printed Name and Title of Authorized Official</w:t>
            </w:r>
          </w:p>
        </w:tc>
      </w:tr>
      <w:tr w:rsidR="0022648B" w14:paraId="1C1408FA" w14:textId="77777777" w:rsidTr="0022648B">
        <w:trPr>
          <w:gridAfter w:val="1"/>
          <w:wAfter w:w="11" w:type="dxa"/>
          <w:trHeight w:val="432"/>
          <w:jc w:val="center"/>
        </w:trPr>
        <w:tc>
          <w:tcPr>
            <w:tcW w:w="6931" w:type="dxa"/>
            <w:tcBorders>
              <w:bottom w:val="single" w:sz="4" w:space="0" w:color="auto"/>
            </w:tcBorders>
            <w:vAlign w:val="bottom"/>
          </w:tcPr>
          <w:p w14:paraId="76FD050B" w14:textId="4C0732BA" w:rsidR="0022648B" w:rsidRDefault="0022648B" w:rsidP="00C33806">
            <w:pPr>
              <w:rPr>
                <w:rFonts w:ascii="Arial" w:hAnsi="Arial" w:cs="Arial"/>
                <w:sz w:val="20"/>
              </w:rPr>
            </w:pPr>
          </w:p>
        </w:tc>
        <w:tc>
          <w:tcPr>
            <w:tcW w:w="236" w:type="dxa"/>
            <w:vAlign w:val="bottom"/>
          </w:tcPr>
          <w:p w14:paraId="63B75D6C" w14:textId="77777777" w:rsidR="0022648B" w:rsidRDefault="0022648B" w:rsidP="00C33806">
            <w:pPr>
              <w:rPr>
                <w:rFonts w:ascii="Arial" w:hAnsi="Arial" w:cs="Arial"/>
                <w:sz w:val="20"/>
              </w:rPr>
            </w:pPr>
          </w:p>
        </w:tc>
        <w:tc>
          <w:tcPr>
            <w:tcW w:w="2057" w:type="dxa"/>
            <w:tcBorders>
              <w:bottom w:val="single" w:sz="4" w:space="0" w:color="auto"/>
            </w:tcBorders>
            <w:vAlign w:val="bottom"/>
          </w:tcPr>
          <w:p w14:paraId="7C63CF48" w14:textId="473BEEAE" w:rsidR="0022648B" w:rsidRPr="0022648B" w:rsidRDefault="0022648B" w:rsidP="00C33806">
            <w:pPr>
              <w:rPr>
                <w:rFonts w:ascii="Arial" w:hAnsi="Arial" w:cs="Arial"/>
                <w:szCs w:val="24"/>
              </w:rPr>
            </w:pPr>
          </w:p>
        </w:tc>
      </w:tr>
      <w:tr w:rsidR="00C33806" w14:paraId="7F16719B" w14:textId="77777777" w:rsidTr="0022648B">
        <w:trPr>
          <w:gridAfter w:val="1"/>
          <w:wAfter w:w="11" w:type="dxa"/>
          <w:trHeight w:val="288"/>
          <w:jc w:val="center"/>
        </w:trPr>
        <w:tc>
          <w:tcPr>
            <w:tcW w:w="6931" w:type="dxa"/>
            <w:tcBorders>
              <w:top w:val="single" w:sz="4" w:space="0" w:color="auto"/>
            </w:tcBorders>
          </w:tcPr>
          <w:p w14:paraId="47A91033" w14:textId="2BC5E7B4" w:rsidR="00C33806" w:rsidRPr="00636837" w:rsidRDefault="00C33806" w:rsidP="00CC5FB4">
            <w:pPr>
              <w:rPr>
                <w:rFonts w:ascii="Arial" w:hAnsi="Arial" w:cs="Arial"/>
                <w:i/>
                <w:iCs/>
                <w:sz w:val="18"/>
                <w:szCs w:val="20"/>
              </w:rPr>
            </w:pPr>
            <w:r w:rsidRPr="00636837">
              <w:rPr>
                <w:rFonts w:ascii="Arial" w:hAnsi="Arial" w:cs="Arial"/>
                <w:b/>
                <w:i/>
                <w:iCs/>
                <w:sz w:val="18"/>
                <w:szCs w:val="20"/>
              </w:rPr>
              <w:t>Signature of Authorized Official</w:t>
            </w:r>
          </w:p>
        </w:tc>
        <w:tc>
          <w:tcPr>
            <w:tcW w:w="236" w:type="dxa"/>
          </w:tcPr>
          <w:p w14:paraId="267358B5" w14:textId="77777777" w:rsidR="00C33806" w:rsidRPr="00890539" w:rsidRDefault="00C33806" w:rsidP="00CC5FB4">
            <w:pPr>
              <w:rPr>
                <w:rFonts w:ascii="Arial" w:hAnsi="Arial" w:cs="Arial"/>
                <w:b/>
                <w:sz w:val="20"/>
              </w:rPr>
            </w:pPr>
          </w:p>
        </w:tc>
        <w:tc>
          <w:tcPr>
            <w:tcW w:w="2057" w:type="dxa"/>
          </w:tcPr>
          <w:p w14:paraId="3BDF42E7" w14:textId="329F5B03" w:rsidR="00C33806" w:rsidRPr="00636837" w:rsidRDefault="00C33806" w:rsidP="00CC5FB4">
            <w:pPr>
              <w:rPr>
                <w:rFonts w:ascii="Arial" w:hAnsi="Arial" w:cs="Arial"/>
                <w:i/>
                <w:iCs/>
                <w:sz w:val="20"/>
              </w:rPr>
            </w:pPr>
            <w:r w:rsidRPr="00636837">
              <w:rPr>
                <w:rFonts w:ascii="Arial" w:hAnsi="Arial" w:cs="Arial"/>
                <w:b/>
                <w:i/>
                <w:iCs/>
                <w:sz w:val="18"/>
                <w:szCs w:val="20"/>
              </w:rPr>
              <w:t>Date</w:t>
            </w:r>
          </w:p>
        </w:tc>
      </w:tr>
    </w:tbl>
    <w:p w14:paraId="58FCCCEA" w14:textId="32DFBEBA" w:rsidR="00881713" w:rsidRDefault="00881713" w:rsidP="00CC5FB4">
      <w:pPr>
        <w:spacing w:after="0" w:line="240" w:lineRule="auto"/>
        <w:rPr>
          <w:rFonts w:ascii="Arial" w:hAnsi="Arial" w:cs="Arial"/>
          <w:sz w:val="20"/>
        </w:rPr>
      </w:pPr>
    </w:p>
    <w:p w14:paraId="2CD33B8B" w14:textId="61E01403" w:rsidR="00C33806" w:rsidRPr="00C33806" w:rsidRDefault="00C33806" w:rsidP="00C33806">
      <w:pPr>
        <w:tabs>
          <w:tab w:val="left" w:pos="1373"/>
        </w:tabs>
        <w:rPr>
          <w:rFonts w:ascii="Arial" w:hAnsi="Arial" w:cs="Arial"/>
          <w:sz w:val="20"/>
        </w:rPr>
      </w:pPr>
    </w:p>
    <w:p w14:paraId="1D5637A7" w14:textId="0FA1C329" w:rsidR="00C33806" w:rsidRPr="00C33806" w:rsidRDefault="00C33806" w:rsidP="00C33806">
      <w:pPr>
        <w:rPr>
          <w:rFonts w:ascii="Arial" w:hAnsi="Arial" w:cs="Arial"/>
          <w:sz w:val="20"/>
        </w:rPr>
      </w:pPr>
    </w:p>
    <w:p w14:paraId="4BC8A5EE" w14:textId="6B92717A" w:rsidR="00C33806" w:rsidRPr="00C33806" w:rsidRDefault="00C33806" w:rsidP="00C33806">
      <w:pPr>
        <w:rPr>
          <w:rFonts w:ascii="Arial" w:hAnsi="Arial" w:cs="Arial"/>
          <w:sz w:val="20"/>
        </w:rPr>
      </w:pPr>
    </w:p>
    <w:p w14:paraId="6C18433D" w14:textId="79D866FB" w:rsidR="00C33806" w:rsidRPr="00C33806" w:rsidRDefault="00C33806" w:rsidP="00C33806">
      <w:pPr>
        <w:rPr>
          <w:rFonts w:ascii="Arial" w:hAnsi="Arial" w:cs="Arial"/>
          <w:sz w:val="20"/>
        </w:rPr>
      </w:pPr>
    </w:p>
    <w:p w14:paraId="7DF393B5" w14:textId="05D37577" w:rsidR="00C33806" w:rsidRDefault="00C33806" w:rsidP="00C33806">
      <w:pPr>
        <w:tabs>
          <w:tab w:val="left" w:pos="1650"/>
        </w:tabs>
        <w:rPr>
          <w:rFonts w:ascii="Arial" w:hAnsi="Arial" w:cs="Arial"/>
          <w:sz w:val="20"/>
        </w:rPr>
      </w:pPr>
      <w:r>
        <w:rPr>
          <w:rFonts w:ascii="Arial" w:hAnsi="Arial" w:cs="Arial"/>
          <w:sz w:val="20"/>
        </w:rPr>
        <w:tab/>
      </w:r>
    </w:p>
    <w:p w14:paraId="1C4E17F2" w14:textId="7AF95DDA" w:rsidR="0039470A" w:rsidRPr="0039470A" w:rsidRDefault="0039470A" w:rsidP="0039470A">
      <w:pPr>
        <w:rPr>
          <w:rFonts w:ascii="Arial" w:hAnsi="Arial" w:cs="Arial"/>
          <w:sz w:val="20"/>
        </w:rPr>
      </w:pPr>
    </w:p>
    <w:p w14:paraId="4B926436" w14:textId="4A1B5ABC" w:rsidR="0039470A" w:rsidRPr="0039470A" w:rsidRDefault="0039470A" w:rsidP="0039470A">
      <w:pPr>
        <w:rPr>
          <w:rFonts w:ascii="Arial" w:hAnsi="Arial" w:cs="Arial"/>
          <w:sz w:val="20"/>
        </w:rPr>
      </w:pPr>
    </w:p>
    <w:p w14:paraId="1674C673" w14:textId="18EDEFB0" w:rsidR="0039470A" w:rsidRPr="0039470A" w:rsidRDefault="0039470A" w:rsidP="0039470A">
      <w:pPr>
        <w:tabs>
          <w:tab w:val="left" w:pos="1605"/>
        </w:tabs>
        <w:rPr>
          <w:rFonts w:ascii="Arial" w:hAnsi="Arial" w:cs="Arial"/>
          <w:sz w:val="20"/>
        </w:rPr>
      </w:pPr>
      <w:r>
        <w:rPr>
          <w:rFonts w:ascii="Arial" w:hAnsi="Arial" w:cs="Arial"/>
          <w:sz w:val="20"/>
        </w:rPr>
        <w:tab/>
      </w:r>
    </w:p>
    <w:sectPr w:rsidR="0039470A" w:rsidRPr="0039470A" w:rsidSect="009C36F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646C" w14:textId="77777777" w:rsidR="00EF1D69" w:rsidRDefault="00EF1D69" w:rsidP="0044350E">
      <w:pPr>
        <w:spacing w:after="0" w:line="240" w:lineRule="auto"/>
      </w:pPr>
      <w:r>
        <w:separator/>
      </w:r>
    </w:p>
  </w:endnote>
  <w:endnote w:type="continuationSeparator" w:id="0">
    <w:p w14:paraId="479D94BD" w14:textId="77777777" w:rsidR="00EF1D69" w:rsidRDefault="00EF1D69" w:rsidP="0044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02087"/>
      <w:docPartObj>
        <w:docPartGallery w:val="Page Numbers (Bottom of Page)"/>
        <w:docPartUnique/>
      </w:docPartObj>
    </w:sdtPr>
    <w:sdtEndPr/>
    <w:sdtContent>
      <w:sdt>
        <w:sdtPr>
          <w:id w:val="900491044"/>
          <w:docPartObj>
            <w:docPartGallery w:val="Page Numbers (Top of Page)"/>
            <w:docPartUnique/>
          </w:docPartObj>
        </w:sdtPr>
        <w:sdtEndPr/>
        <w:sdtContent>
          <w:p w14:paraId="1A0D60C6" w14:textId="3C4DF8AA" w:rsidR="005776ED" w:rsidRDefault="005776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B1AE" w14:textId="77777777" w:rsidR="00EF1D69" w:rsidRDefault="00EF1D69" w:rsidP="0044350E">
      <w:pPr>
        <w:spacing w:after="0" w:line="240" w:lineRule="auto"/>
      </w:pPr>
      <w:r>
        <w:separator/>
      </w:r>
    </w:p>
  </w:footnote>
  <w:footnote w:type="continuationSeparator" w:id="0">
    <w:p w14:paraId="734BBCBC" w14:textId="77777777" w:rsidR="00EF1D69" w:rsidRDefault="00EF1D69" w:rsidP="00443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F1"/>
    <w:rsid w:val="0004021A"/>
    <w:rsid w:val="0005571E"/>
    <w:rsid w:val="00065211"/>
    <w:rsid w:val="000B0946"/>
    <w:rsid w:val="000C6CC8"/>
    <w:rsid w:val="001551CC"/>
    <w:rsid w:val="0018251E"/>
    <w:rsid w:val="0022648B"/>
    <w:rsid w:val="002D78C4"/>
    <w:rsid w:val="002E1E8D"/>
    <w:rsid w:val="002E2FCB"/>
    <w:rsid w:val="00317A7F"/>
    <w:rsid w:val="00353D63"/>
    <w:rsid w:val="00381014"/>
    <w:rsid w:val="0039470A"/>
    <w:rsid w:val="003B2923"/>
    <w:rsid w:val="0044350E"/>
    <w:rsid w:val="0044668C"/>
    <w:rsid w:val="0046508E"/>
    <w:rsid w:val="004656FE"/>
    <w:rsid w:val="004946BD"/>
    <w:rsid w:val="004964F3"/>
    <w:rsid w:val="004E2D98"/>
    <w:rsid w:val="004E7BE7"/>
    <w:rsid w:val="00506EE2"/>
    <w:rsid w:val="005311E6"/>
    <w:rsid w:val="005324E8"/>
    <w:rsid w:val="005776ED"/>
    <w:rsid w:val="005976AD"/>
    <w:rsid w:val="005B30B7"/>
    <w:rsid w:val="005D07E5"/>
    <w:rsid w:val="005D77C1"/>
    <w:rsid w:val="00636837"/>
    <w:rsid w:val="006803DF"/>
    <w:rsid w:val="0069253C"/>
    <w:rsid w:val="006940CF"/>
    <w:rsid w:val="006A12E9"/>
    <w:rsid w:val="006C37E2"/>
    <w:rsid w:val="00733112"/>
    <w:rsid w:val="007814DF"/>
    <w:rsid w:val="007A5144"/>
    <w:rsid w:val="007B04FB"/>
    <w:rsid w:val="00800785"/>
    <w:rsid w:val="008070BB"/>
    <w:rsid w:val="008310BD"/>
    <w:rsid w:val="00861EA4"/>
    <w:rsid w:val="00881713"/>
    <w:rsid w:val="00890539"/>
    <w:rsid w:val="00892656"/>
    <w:rsid w:val="00922278"/>
    <w:rsid w:val="00951ECC"/>
    <w:rsid w:val="009B3608"/>
    <w:rsid w:val="009C36F1"/>
    <w:rsid w:val="00A75A15"/>
    <w:rsid w:val="00AC2C75"/>
    <w:rsid w:val="00AD3E35"/>
    <w:rsid w:val="00AD5CA6"/>
    <w:rsid w:val="00B00BCF"/>
    <w:rsid w:val="00B15806"/>
    <w:rsid w:val="00B8153D"/>
    <w:rsid w:val="00B82844"/>
    <w:rsid w:val="00BC0B84"/>
    <w:rsid w:val="00BC5F65"/>
    <w:rsid w:val="00C33806"/>
    <w:rsid w:val="00C47EC5"/>
    <w:rsid w:val="00CC5FB4"/>
    <w:rsid w:val="00CE0280"/>
    <w:rsid w:val="00CE4662"/>
    <w:rsid w:val="00D66DD9"/>
    <w:rsid w:val="00D73EAF"/>
    <w:rsid w:val="00D84873"/>
    <w:rsid w:val="00D86568"/>
    <w:rsid w:val="00DE6A71"/>
    <w:rsid w:val="00E5454D"/>
    <w:rsid w:val="00EE54B9"/>
    <w:rsid w:val="00EF1D69"/>
    <w:rsid w:val="00F21EB9"/>
    <w:rsid w:val="00F63536"/>
    <w:rsid w:val="00F7756B"/>
    <w:rsid w:val="00FA38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828394"/>
  <w15:docId w15:val="{CDDD1191-97A1-4237-8C06-B9F2230B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50E"/>
  </w:style>
  <w:style w:type="paragraph" w:styleId="Footer">
    <w:name w:val="footer"/>
    <w:basedOn w:val="Normal"/>
    <w:link w:val="FooterChar"/>
    <w:uiPriority w:val="99"/>
    <w:unhideWhenUsed/>
    <w:rsid w:val="00443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50E"/>
  </w:style>
  <w:style w:type="paragraph" w:styleId="BalloonText">
    <w:name w:val="Balloon Text"/>
    <w:basedOn w:val="Normal"/>
    <w:link w:val="BalloonTextChar"/>
    <w:uiPriority w:val="99"/>
    <w:semiHidden/>
    <w:unhideWhenUsed/>
    <w:rsid w:val="00CE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80"/>
    <w:rPr>
      <w:rFonts w:ascii="Segoe UI" w:hAnsi="Segoe UI" w:cs="Segoe UI"/>
      <w:sz w:val="18"/>
      <w:szCs w:val="18"/>
    </w:rPr>
  </w:style>
  <w:style w:type="table" w:styleId="TableGrid">
    <w:name w:val="Table Grid"/>
    <w:basedOn w:val="TableNormal"/>
    <w:uiPriority w:val="59"/>
    <w:rsid w:val="0088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4f06f7cca88cd036e2b557d1d5691baa">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0e15a55f965ccf61bcffbaf2838448d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819FA-19F2-419C-861A-EEA3136505F7}">
  <ds:schemaRefs>
    <ds:schemaRef ds:uri="http://schemas.microsoft.com/sharepoint/events"/>
  </ds:schemaRefs>
</ds:datastoreItem>
</file>

<file path=customXml/itemProps2.xml><?xml version="1.0" encoding="utf-8"?>
<ds:datastoreItem xmlns:ds="http://schemas.openxmlformats.org/officeDocument/2006/customXml" ds:itemID="{34E8BE74-4075-4E38-AAA2-F42B3445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D66A9-4691-4422-88B3-A8C2C0A389E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901A04-5DFD-43B8-8A3E-AF15218F8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Iverson, Tanya L</dc:creator>
  <cp:lastModifiedBy>Lim, Sarah</cp:lastModifiedBy>
  <cp:revision>2</cp:revision>
  <cp:lastPrinted>2019-02-04T16:47:00Z</cp:lastPrinted>
  <dcterms:created xsi:type="dcterms:W3CDTF">2025-06-26T16:04:00Z</dcterms:created>
  <dcterms:modified xsi:type="dcterms:W3CDTF">2025-06-26T16:04:00Z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