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FE1E" w14:textId="77777777" w:rsidR="00102DCF" w:rsidRDefault="00ED1B9C" w:rsidP="003D6F77">
      <w:pPr>
        <w:jc w:val="center"/>
        <w:rPr>
          <w:rFonts w:asciiTheme="minorHAnsi" w:hAnsiTheme="minorHAnsi"/>
          <w:b/>
          <w:sz w:val="32"/>
          <w:szCs w:val="32"/>
        </w:rPr>
      </w:pPr>
      <w:r>
        <w:rPr>
          <w:rFonts w:asciiTheme="minorHAnsi" w:hAnsiTheme="minorHAnsi"/>
          <w:b/>
          <w:sz w:val="32"/>
          <w:szCs w:val="32"/>
        </w:rPr>
        <w:t xml:space="preserve">Dane CoC </w:t>
      </w:r>
      <w:r w:rsidRPr="00ED1B9C">
        <w:rPr>
          <w:rFonts w:asciiTheme="minorHAnsi" w:hAnsiTheme="minorHAnsi"/>
          <w:b/>
          <w:sz w:val="32"/>
          <w:szCs w:val="32"/>
        </w:rPr>
        <w:t xml:space="preserve">Written Standards Checklist- </w:t>
      </w:r>
      <w:r w:rsidR="00573D37">
        <w:rPr>
          <w:rFonts w:asciiTheme="minorHAnsi" w:hAnsiTheme="minorHAnsi"/>
          <w:b/>
          <w:sz w:val="32"/>
          <w:szCs w:val="32"/>
        </w:rPr>
        <w:t>Emergency Transfer Plan</w:t>
      </w:r>
    </w:p>
    <w:p w14:paraId="3769A76E" w14:textId="77777777" w:rsidR="00102DCF" w:rsidRPr="00102DCF" w:rsidRDefault="00102DCF" w:rsidP="003D6F77">
      <w:pPr>
        <w:jc w:val="center"/>
        <w:rPr>
          <w:rFonts w:asciiTheme="minorHAnsi" w:hAnsiTheme="minorHAnsi"/>
          <w:sz w:val="22"/>
          <w:szCs w:val="22"/>
        </w:rPr>
      </w:pPr>
      <w:r w:rsidRPr="00102DCF">
        <w:rPr>
          <w:rFonts w:asciiTheme="minorHAnsi" w:hAnsiTheme="minorHAnsi"/>
          <w:sz w:val="22"/>
          <w:szCs w:val="22"/>
        </w:rPr>
        <w:t>CoC &amp; ESG Projects where funds are used for acquisition, rehabilitation, new construction, leasing, rental assistance or operating costs. ESG Prevention Projects that use funds for short- and/or medium-term rental assistance.</w:t>
      </w:r>
      <w:r w:rsidR="00573D37" w:rsidRPr="00102DCF">
        <w:rPr>
          <w:rFonts w:asciiTheme="minorHAnsi" w:hAnsiTheme="minorHAnsi"/>
          <w:sz w:val="22"/>
          <w:szCs w:val="22"/>
        </w:rPr>
        <w:t xml:space="preserve"> </w:t>
      </w:r>
    </w:p>
    <w:p w14:paraId="6B48FB54" w14:textId="77777777" w:rsidR="003D6F77" w:rsidRPr="00ED1B9C" w:rsidRDefault="003D6F77" w:rsidP="003D6F77">
      <w:pPr>
        <w:jc w:val="center"/>
        <w:rPr>
          <w:rFonts w:asciiTheme="minorHAnsi" w:hAnsiTheme="minorHAnsi"/>
          <w:b/>
          <w:sz w:val="32"/>
          <w:szCs w:val="32"/>
        </w:rPr>
      </w:pPr>
      <w:proofErr w:type="gramStart"/>
      <w:r>
        <w:rPr>
          <w:rFonts w:asciiTheme="minorHAnsi" w:hAnsiTheme="minorHAnsi"/>
          <w:b/>
          <w:sz w:val="32"/>
          <w:szCs w:val="32"/>
        </w:rPr>
        <w:t>Agency:_</w:t>
      </w:r>
      <w:proofErr w:type="gramEnd"/>
      <w:r>
        <w:rPr>
          <w:rFonts w:asciiTheme="minorHAnsi" w:hAnsiTheme="minorHAnsi"/>
          <w:b/>
          <w:sz w:val="32"/>
          <w:szCs w:val="32"/>
        </w:rPr>
        <w:t>____________________   Program(s):___________________________</w:t>
      </w:r>
    </w:p>
    <w:p w14:paraId="69DEB395" w14:textId="77777777" w:rsidR="00ED1B9C" w:rsidRPr="00ED1B9C" w:rsidRDefault="00ED1B9C" w:rsidP="00ED1B9C">
      <w:pPr>
        <w:jc w:val="center"/>
        <w:rPr>
          <w:rFonts w:asciiTheme="minorHAnsi" w:hAnsiTheme="minorHAnsi"/>
          <w:b/>
          <w:sz w:val="32"/>
          <w:szCs w:val="32"/>
        </w:rPr>
      </w:pPr>
    </w:p>
    <w:tbl>
      <w:tblPr>
        <w:tblStyle w:val="TableGrid"/>
        <w:tblW w:w="11155" w:type="dxa"/>
        <w:tblLook w:val="04A0" w:firstRow="1" w:lastRow="0" w:firstColumn="1" w:lastColumn="0" w:noHBand="0" w:noVBand="1"/>
      </w:tblPr>
      <w:tblGrid>
        <w:gridCol w:w="7759"/>
        <w:gridCol w:w="529"/>
        <w:gridCol w:w="538"/>
        <w:gridCol w:w="2329"/>
      </w:tblGrid>
      <w:tr w:rsidR="00ED1B9C" w:rsidRPr="00ED1B9C" w14:paraId="2AD1B85C" w14:textId="77777777" w:rsidTr="002F5E2E">
        <w:trPr>
          <w:trHeight w:val="301"/>
        </w:trPr>
        <w:tc>
          <w:tcPr>
            <w:tcW w:w="7759" w:type="dxa"/>
            <w:shd w:val="clear" w:color="auto" w:fill="D9D9D9" w:themeFill="background1" w:themeFillShade="D9"/>
          </w:tcPr>
          <w:p w14:paraId="1F9C54E4"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Standards</w:t>
            </w:r>
          </w:p>
        </w:tc>
        <w:tc>
          <w:tcPr>
            <w:tcW w:w="529" w:type="dxa"/>
            <w:shd w:val="clear" w:color="auto" w:fill="D9D9D9" w:themeFill="background1" w:themeFillShade="D9"/>
          </w:tcPr>
          <w:p w14:paraId="4B7168AC"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Yes</w:t>
            </w:r>
          </w:p>
        </w:tc>
        <w:tc>
          <w:tcPr>
            <w:tcW w:w="538" w:type="dxa"/>
            <w:shd w:val="clear" w:color="auto" w:fill="D9D9D9" w:themeFill="background1" w:themeFillShade="D9"/>
          </w:tcPr>
          <w:p w14:paraId="58C97104" w14:textId="77777777" w:rsidR="00ED1B9C" w:rsidRPr="00E41438" w:rsidRDefault="00ED1B9C">
            <w:pPr>
              <w:rPr>
                <w:rFonts w:asciiTheme="minorHAnsi" w:hAnsiTheme="minorHAnsi"/>
                <w:b/>
                <w:sz w:val="22"/>
                <w:szCs w:val="22"/>
              </w:rPr>
            </w:pPr>
            <w:r w:rsidRPr="00E41438">
              <w:rPr>
                <w:rFonts w:asciiTheme="minorHAnsi" w:hAnsiTheme="minorHAnsi"/>
                <w:b/>
                <w:sz w:val="22"/>
                <w:szCs w:val="22"/>
              </w:rPr>
              <w:t>No</w:t>
            </w:r>
          </w:p>
        </w:tc>
        <w:tc>
          <w:tcPr>
            <w:tcW w:w="2329" w:type="dxa"/>
            <w:shd w:val="clear" w:color="auto" w:fill="D9D9D9" w:themeFill="background1" w:themeFillShade="D9"/>
          </w:tcPr>
          <w:p w14:paraId="43017AD3" w14:textId="77777777" w:rsidR="00ED1B9C" w:rsidRPr="00E41438" w:rsidRDefault="00ED1B9C" w:rsidP="00ED1B9C">
            <w:pPr>
              <w:rPr>
                <w:rFonts w:asciiTheme="minorHAnsi" w:hAnsiTheme="minorHAnsi"/>
                <w:b/>
                <w:sz w:val="22"/>
                <w:szCs w:val="22"/>
              </w:rPr>
            </w:pPr>
            <w:r w:rsidRPr="00E41438">
              <w:rPr>
                <w:rFonts w:asciiTheme="minorHAnsi" w:hAnsiTheme="minorHAnsi"/>
                <w:b/>
                <w:sz w:val="22"/>
                <w:szCs w:val="22"/>
              </w:rPr>
              <w:t>Comments/Plan for Improvement</w:t>
            </w:r>
          </w:p>
        </w:tc>
      </w:tr>
      <w:tr w:rsidR="00ED1B9C" w:rsidRPr="00ED1B9C" w14:paraId="4141B44B" w14:textId="77777777" w:rsidTr="002F5E2E">
        <w:trPr>
          <w:trHeight w:val="301"/>
        </w:trPr>
        <w:tc>
          <w:tcPr>
            <w:tcW w:w="7759" w:type="dxa"/>
          </w:tcPr>
          <w:p w14:paraId="4A9A74BE" w14:textId="77777777" w:rsidR="00ED1B9C" w:rsidRPr="00745487" w:rsidRDefault="003E374C">
            <w:pPr>
              <w:rPr>
                <w:rFonts w:asciiTheme="minorHAnsi" w:hAnsiTheme="minorHAnsi" w:cstheme="minorHAnsi"/>
                <w:sz w:val="22"/>
                <w:szCs w:val="22"/>
              </w:rPr>
            </w:pPr>
            <w:r w:rsidRPr="00745487">
              <w:rPr>
                <w:rFonts w:asciiTheme="minorHAnsi" w:hAnsiTheme="minorHAnsi" w:cstheme="minorHAnsi"/>
                <w:sz w:val="22"/>
                <w:szCs w:val="22"/>
              </w:rPr>
              <w:t xml:space="preserve">1. Persons may not be denied assistance, terminated from assistance or evicted as a result directly related to experiencing domestic violence, dating violence, sexual assault, or stalking, regardless of sex, gender identity, gender expression or actual or perceived sexual orientation, if the person otherwise qualifies for the project. 24 CFR 5.2005(b)(1) </w:t>
            </w:r>
          </w:p>
        </w:tc>
        <w:tc>
          <w:tcPr>
            <w:tcW w:w="529" w:type="dxa"/>
          </w:tcPr>
          <w:p w14:paraId="227D7644" w14:textId="77777777" w:rsidR="00ED1B9C" w:rsidRPr="00ED1B9C" w:rsidRDefault="00ED1B9C">
            <w:pPr>
              <w:rPr>
                <w:rFonts w:asciiTheme="minorHAnsi" w:hAnsiTheme="minorHAnsi"/>
                <w:sz w:val="20"/>
                <w:szCs w:val="20"/>
              </w:rPr>
            </w:pPr>
          </w:p>
        </w:tc>
        <w:tc>
          <w:tcPr>
            <w:tcW w:w="538" w:type="dxa"/>
          </w:tcPr>
          <w:p w14:paraId="422ECEFE" w14:textId="77777777" w:rsidR="00ED1B9C" w:rsidRPr="00ED1B9C" w:rsidRDefault="00ED1B9C">
            <w:pPr>
              <w:rPr>
                <w:rFonts w:asciiTheme="minorHAnsi" w:hAnsiTheme="minorHAnsi"/>
                <w:sz w:val="20"/>
                <w:szCs w:val="20"/>
              </w:rPr>
            </w:pPr>
          </w:p>
        </w:tc>
        <w:tc>
          <w:tcPr>
            <w:tcW w:w="2329" w:type="dxa"/>
          </w:tcPr>
          <w:p w14:paraId="18C7BA45" w14:textId="77777777" w:rsidR="00ED1B9C" w:rsidRPr="00ED1B9C" w:rsidRDefault="00ED1B9C">
            <w:pPr>
              <w:rPr>
                <w:rFonts w:asciiTheme="minorHAnsi" w:hAnsiTheme="minorHAnsi"/>
                <w:sz w:val="20"/>
                <w:szCs w:val="20"/>
              </w:rPr>
            </w:pPr>
          </w:p>
        </w:tc>
      </w:tr>
      <w:tr w:rsidR="00ED1B9C" w:rsidRPr="00ED1B9C" w14:paraId="6E8A0A6E" w14:textId="77777777" w:rsidTr="002F5E2E">
        <w:trPr>
          <w:trHeight w:val="301"/>
        </w:trPr>
        <w:tc>
          <w:tcPr>
            <w:tcW w:w="7759" w:type="dxa"/>
          </w:tcPr>
          <w:p w14:paraId="10AE892D" w14:textId="77777777" w:rsidR="00745487" w:rsidRDefault="003E374C">
            <w:pPr>
              <w:rPr>
                <w:rFonts w:asciiTheme="minorHAnsi" w:hAnsiTheme="minorHAnsi" w:cstheme="minorHAnsi"/>
                <w:sz w:val="22"/>
                <w:szCs w:val="22"/>
              </w:rPr>
            </w:pPr>
            <w:r w:rsidRPr="00745487">
              <w:rPr>
                <w:rFonts w:asciiTheme="minorHAnsi" w:hAnsiTheme="minorHAnsi" w:cstheme="minorHAnsi"/>
                <w:sz w:val="22"/>
                <w:szCs w:val="22"/>
              </w:rPr>
              <w:t xml:space="preserve">2. Program participants may not be denied tenancy or occupancy rights solely on the basis of criminal activity directly relating to domestic violence, dating violence, sexual assault or stalking if: </w:t>
            </w:r>
          </w:p>
          <w:p w14:paraId="12D1345B" w14:textId="77777777" w:rsidR="00745487" w:rsidRDefault="00745487">
            <w:pPr>
              <w:rPr>
                <w:rFonts w:asciiTheme="minorHAnsi" w:hAnsiTheme="minorHAnsi" w:cstheme="minorHAnsi"/>
                <w:sz w:val="22"/>
                <w:szCs w:val="22"/>
              </w:rPr>
            </w:pPr>
            <w:r>
              <w:rPr>
                <w:rFonts w:asciiTheme="minorHAnsi" w:hAnsiTheme="minorHAnsi" w:cstheme="minorHAnsi"/>
                <w:sz w:val="22"/>
                <w:szCs w:val="22"/>
              </w:rPr>
              <w:t xml:space="preserve">     </w:t>
            </w:r>
            <w:r w:rsidR="003E374C" w:rsidRPr="00745487">
              <w:rPr>
                <w:rFonts w:asciiTheme="minorHAnsi" w:hAnsiTheme="minorHAnsi" w:cstheme="minorHAnsi"/>
                <w:sz w:val="22"/>
                <w:szCs w:val="22"/>
              </w:rPr>
              <w:t xml:space="preserve">a. The criminal activity is engaged in by a member of the household of the tenant or any guest or other person under the control of the tenant, and </w:t>
            </w:r>
          </w:p>
          <w:p w14:paraId="7ED23297" w14:textId="77777777" w:rsidR="00ED1B9C" w:rsidRPr="00745487" w:rsidRDefault="00745487">
            <w:pPr>
              <w:rPr>
                <w:rFonts w:asciiTheme="minorHAnsi" w:hAnsiTheme="minorHAnsi" w:cstheme="minorHAnsi"/>
                <w:sz w:val="22"/>
                <w:szCs w:val="22"/>
              </w:rPr>
            </w:pPr>
            <w:r>
              <w:rPr>
                <w:rFonts w:asciiTheme="minorHAnsi" w:hAnsiTheme="minorHAnsi" w:cstheme="minorHAnsi"/>
                <w:sz w:val="22"/>
                <w:szCs w:val="22"/>
              </w:rPr>
              <w:t xml:space="preserve">     </w:t>
            </w:r>
            <w:r w:rsidR="003E374C" w:rsidRPr="00745487">
              <w:rPr>
                <w:rFonts w:asciiTheme="minorHAnsi" w:hAnsiTheme="minorHAnsi" w:cstheme="minorHAnsi"/>
                <w:sz w:val="22"/>
                <w:szCs w:val="22"/>
              </w:rPr>
              <w:t xml:space="preserve">b. The tenant or an affiliated individual of the tenant is the victim or threatened victim of such domestic violence, dating violence, sexual assault or stalking. (24 CFR 5.2005(b)(2) </w:t>
            </w:r>
          </w:p>
        </w:tc>
        <w:tc>
          <w:tcPr>
            <w:tcW w:w="529" w:type="dxa"/>
          </w:tcPr>
          <w:p w14:paraId="60EBB926" w14:textId="77777777" w:rsidR="00ED1B9C" w:rsidRPr="00ED1B9C" w:rsidRDefault="00ED1B9C">
            <w:pPr>
              <w:rPr>
                <w:rFonts w:asciiTheme="minorHAnsi" w:hAnsiTheme="minorHAnsi"/>
                <w:sz w:val="20"/>
                <w:szCs w:val="20"/>
              </w:rPr>
            </w:pPr>
          </w:p>
        </w:tc>
        <w:tc>
          <w:tcPr>
            <w:tcW w:w="538" w:type="dxa"/>
          </w:tcPr>
          <w:p w14:paraId="4E2ACF08" w14:textId="77777777" w:rsidR="00ED1B9C" w:rsidRPr="00ED1B9C" w:rsidRDefault="00ED1B9C">
            <w:pPr>
              <w:rPr>
                <w:rFonts w:asciiTheme="minorHAnsi" w:hAnsiTheme="minorHAnsi"/>
                <w:sz w:val="20"/>
                <w:szCs w:val="20"/>
              </w:rPr>
            </w:pPr>
          </w:p>
        </w:tc>
        <w:tc>
          <w:tcPr>
            <w:tcW w:w="2329" w:type="dxa"/>
          </w:tcPr>
          <w:p w14:paraId="5B5532C8" w14:textId="77777777" w:rsidR="00ED1B9C" w:rsidRPr="00ED1B9C" w:rsidRDefault="00ED1B9C">
            <w:pPr>
              <w:rPr>
                <w:rFonts w:asciiTheme="minorHAnsi" w:hAnsiTheme="minorHAnsi"/>
                <w:sz w:val="20"/>
                <w:szCs w:val="20"/>
              </w:rPr>
            </w:pPr>
          </w:p>
        </w:tc>
      </w:tr>
      <w:tr w:rsidR="00ED1B9C" w:rsidRPr="00ED1B9C" w14:paraId="002C56EC" w14:textId="77777777" w:rsidTr="002F5E2E">
        <w:trPr>
          <w:trHeight w:val="301"/>
        </w:trPr>
        <w:tc>
          <w:tcPr>
            <w:tcW w:w="7759" w:type="dxa"/>
          </w:tcPr>
          <w:p w14:paraId="40BF0DC1" w14:textId="77777777" w:rsidR="00ED1B9C" w:rsidRPr="00745487" w:rsidRDefault="003E374C">
            <w:pPr>
              <w:rPr>
                <w:rFonts w:asciiTheme="minorHAnsi" w:hAnsiTheme="minorHAnsi" w:cstheme="minorHAnsi"/>
                <w:sz w:val="22"/>
                <w:szCs w:val="22"/>
              </w:rPr>
            </w:pPr>
            <w:r w:rsidRPr="00745487">
              <w:rPr>
                <w:rFonts w:asciiTheme="minorHAnsi" w:hAnsiTheme="minorHAnsi" w:cstheme="minorHAnsi"/>
                <w:sz w:val="22"/>
                <w:szCs w:val="22"/>
              </w:rPr>
              <w:t xml:space="preserve">3. The Notice of Occupancy Rights under the Violence Against Women Act (HUD Form 5380) and Certification of Domestic Violence, Dating Violence, Sexual Assault, or Stalking, and Alternate Documentation (HUD Form 5382) must be provided to program applicants/participants (in the language they request) when they are accepted or denied transitional or permanent housing, served an eviction notice or terminated from assistance. CoC and ESG program grantees must document that participants were informed of their rights and provided copies of the notices. A signed copy of acknowledgement must be maintained in client files. If person refuses or is unable to sign, provider will document provision of forms and attempt to get signature. For applicants who do not become participants, providers must keep files of signed documents for three years. 24 CFR 5.2005 (a)(1)(2)(3) </w:t>
            </w:r>
          </w:p>
        </w:tc>
        <w:tc>
          <w:tcPr>
            <w:tcW w:w="529" w:type="dxa"/>
          </w:tcPr>
          <w:p w14:paraId="7C7F7F40" w14:textId="77777777" w:rsidR="00ED1B9C" w:rsidRPr="00ED1B9C" w:rsidRDefault="00ED1B9C">
            <w:pPr>
              <w:rPr>
                <w:rFonts w:asciiTheme="minorHAnsi" w:hAnsiTheme="minorHAnsi"/>
                <w:sz w:val="20"/>
                <w:szCs w:val="20"/>
              </w:rPr>
            </w:pPr>
          </w:p>
        </w:tc>
        <w:tc>
          <w:tcPr>
            <w:tcW w:w="538" w:type="dxa"/>
          </w:tcPr>
          <w:p w14:paraId="4241A7CC" w14:textId="77777777" w:rsidR="00ED1B9C" w:rsidRPr="00ED1B9C" w:rsidRDefault="00ED1B9C">
            <w:pPr>
              <w:rPr>
                <w:rFonts w:asciiTheme="minorHAnsi" w:hAnsiTheme="minorHAnsi"/>
                <w:sz w:val="20"/>
                <w:szCs w:val="20"/>
              </w:rPr>
            </w:pPr>
          </w:p>
        </w:tc>
        <w:tc>
          <w:tcPr>
            <w:tcW w:w="2329" w:type="dxa"/>
          </w:tcPr>
          <w:p w14:paraId="6BCF062A" w14:textId="77777777" w:rsidR="00ED1B9C" w:rsidRPr="00ED1B9C" w:rsidRDefault="00ED1B9C">
            <w:pPr>
              <w:rPr>
                <w:rFonts w:asciiTheme="minorHAnsi" w:hAnsiTheme="minorHAnsi"/>
                <w:sz w:val="20"/>
                <w:szCs w:val="20"/>
              </w:rPr>
            </w:pPr>
          </w:p>
        </w:tc>
      </w:tr>
      <w:tr w:rsidR="00ED1B9C" w:rsidRPr="00ED1B9C" w14:paraId="15D9AD20" w14:textId="77777777" w:rsidTr="002F5E2E">
        <w:trPr>
          <w:trHeight w:val="301"/>
        </w:trPr>
        <w:tc>
          <w:tcPr>
            <w:tcW w:w="7759" w:type="dxa"/>
          </w:tcPr>
          <w:p w14:paraId="400F514F" w14:textId="77777777" w:rsidR="00ED1B9C" w:rsidRPr="00745487" w:rsidRDefault="003E374C">
            <w:pPr>
              <w:rPr>
                <w:rFonts w:asciiTheme="minorHAnsi" w:hAnsiTheme="minorHAnsi" w:cstheme="minorHAnsi"/>
                <w:sz w:val="22"/>
                <w:szCs w:val="22"/>
              </w:rPr>
            </w:pPr>
            <w:r w:rsidRPr="00745487">
              <w:rPr>
                <w:rFonts w:asciiTheme="minorHAnsi" w:hAnsiTheme="minorHAnsi" w:cstheme="minorHAnsi"/>
                <w:sz w:val="22"/>
                <w:szCs w:val="22"/>
              </w:rPr>
              <w:t xml:space="preserve">4. When a housing provider is entering into a lease agreement with a participant, they must include the VAWA Lease Addendum (HUD Form 91067) which is to be signed by both the tenant and the housing provider. </w:t>
            </w:r>
          </w:p>
        </w:tc>
        <w:tc>
          <w:tcPr>
            <w:tcW w:w="529" w:type="dxa"/>
          </w:tcPr>
          <w:p w14:paraId="26AF18AC" w14:textId="77777777" w:rsidR="00ED1B9C" w:rsidRPr="00ED1B9C" w:rsidRDefault="00ED1B9C">
            <w:pPr>
              <w:rPr>
                <w:rFonts w:asciiTheme="minorHAnsi" w:hAnsiTheme="minorHAnsi"/>
                <w:sz w:val="20"/>
                <w:szCs w:val="20"/>
              </w:rPr>
            </w:pPr>
          </w:p>
        </w:tc>
        <w:tc>
          <w:tcPr>
            <w:tcW w:w="538" w:type="dxa"/>
          </w:tcPr>
          <w:p w14:paraId="26523F99" w14:textId="77777777" w:rsidR="00ED1B9C" w:rsidRPr="00ED1B9C" w:rsidRDefault="00ED1B9C">
            <w:pPr>
              <w:rPr>
                <w:rFonts w:asciiTheme="minorHAnsi" w:hAnsiTheme="minorHAnsi"/>
                <w:sz w:val="20"/>
                <w:szCs w:val="20"/>
              </w:rPr>
            </w:pPr>
          </w:p>
        </w:tc>
        <w:tc>
          <w:tcPr>
            <w:tcW w:w="2329" w:type="dxa"/>
          </w:tcPr>
          <w:p w14:paraId="3C5EA481" w14:textId="77777777" w:rsidR="00ED1B9C" w:rsidRPr="00ED1B9C" w:rsidRDefault="00ED1B9C">
            <w:pPr>
              <w:rPr>
                <w:rFonts w:asciiTheme="minorHAnsi" w:hAnsiTheme="minorHAnsi"/>
                <w:sz w:val="20"/>
                <w:szCs w:val="20"/>
              </w:rPr>
            </w:pPr>
          </w:p>
        </w:tc>
      </w:tr>
      <w:tr w:rsidR="00ED1B9C" w:rsidRPr="00ED1B9C" w14:paraId="1A3E2098" w14:textId="77777777" w:rsidTr="002F5E2E">
        <w:trPr>
          <w:trHeight w:val="301"/>
        </w:trPr>
        <w:tc>
          <w:tcPr>
            <w:tcW w:w="7759" w:type="dxa"/>
          </w:tcPr>
          <w:p w14:paraId="5AD36A4F" w14:textId="77777777" w:rsidR="00ED1B9C" w:rsidRPr="00745487" w:rsidRDefault="003E374C">
            <w:pPr>
              <w:rPr>
                <w:rFonts w:asciiTheme="minorHAnsi" w:hAnsiTheme="minorHAnsi" w:cstheme="minorHAnsi"/>
                <w:sz w:val="22"/>
                <w:szCs w:val="22"/>
              </w:rPr>
            </w:pPr>
            <w:r w:rsidRPr="00745487">
              <w:rPr>
                <w:rFonts w:asciiTheme="minorHAnsi" w:hAnsiTheme="minorHAnsi" w:cstheme="minorHAnsi"/>
                <w:sz w:val="22"/>
                <w:szCs w:val="22"/>
              </w:rPr>
              <w:t>5. CoC and ESG-funded programs using funds for rental assistance are required to include VAWA notification and confidentiality requirements in a contract with the owner or manager of the housing unit(s). The program must ensure that the owner or manager of the housing provides HUD forms 5380 and 5382 to the program participant with any notification of eviction. (24 CFR 578.99(j) (4)(5)</w:t>
            </w:r>
          </w:p>
        </w:tc>
        <w:tc>
          <w:tcPr>
            <w:tcW w:w="529" w:type="dxa"/>
          </w:tcPr>
          <w:p w14:paraId="7BA22FB0" w14:textId="77777777" w:rsidR="00ED1B9C" w:rsidRPr="00ED1B9C" w:rsidRDefault="00ED1B9C">
            <w:pPr>
              <w:rPr>
                <w:rFonts w:asciiTheme="minorHAnsi" w:hAnsiTheme="minorHAnsi"/>
                <w:sz w:val="20"/>
                <w:szCs w:val="20"/>
              </w:rPr>
            </w:pPr>
          </w:p>
        </w:tc>
        <w:tc>
          <w:tcPr>
            <w:tcW w:w="538" w:type="dxa"/>
          </w:tcPr>
          <w:p w14:paraId="180C6EB9" w14:textId="77777777" w:rsidR="00ED1B9C" w:rsidRPr="00ED1B9C" w:rsidRDefault="00ED1B9C">
            <w:pPr>
              <w:rPr>
                <w:rFonts w:asciiTheme="minorHAnsi" w:hAnsiTheme="minorHAnsi"/>
                <w:sz w:val="20"/>
                <w:szCs w:val="20"/>
              </w:rPr>
            </w:pPr>
          </w:p>
        </w:tc>
        <w:tc>
          <w:tcPr>
            <w:tcW w:w="2329" w:type="dxa"/>
          </w:tcPr>
          <w:p w14:paraId="30006562" w14:textId="77777777" w:rsidR="00ED1B9C" w:rsidRPr="00ED1B9C" w:rsidRDefault="00ED1B9C">
            <w:pPr>
              <w:rPr>
                <w:rFonts w:asciiTheme="minorHAnsi" w:hAnsiTheme="minorHAnsi"/>
                <w:sz w:val="20"/>
                <w:szCs w:val="20"/>
              </w:rPr>
            </w:pPr>
          </w:p>
        </w:tc>
      </w:tr>
      <w:tr w:rsidR="00ED1B9C" w:rsidRPr="00ED1B9C" w14:paraId="4B445098" w14:textId="77777777" w:rsidTr="002F5E2E">
        <w:trPr>
          <w:trHeight w:val="317"/>
        </w:trPr>
        <w:tc>
          <w:tcPr>
            <w:tcW w:w="7759" w:type="dxa"/>
          </w:tcPr>
          <w:p w14:paraId="5C751F57" w14:textId="77777777" w:rsidR="00C17A1E"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 xml:space="preserve">6. All information regarding domestic violence, dating violence, sexual assault or stalking, including the fact that an individual is or has experienced such violence or staking, must be kept confidential. This includes keeping confidential the new location of the unit of the program participant. Confidentiality also means that providers and/or property owners or managers may not: </w:t>
            </w:r>
          </w:p>
          <w:p w14:paraId="14402852" w14:textId="77777777" w:rsidR="00C17A1E" w:rsidRPr="00C17A1E" w:rsidRDefault="00C17A1E">
            <w:pPr>
              <w:rPr>
                <w:rFonts w:asciiTheme="minorHAnsi" w:hAnsiTheme="minorHAnsi" w:cstheme="minorHAnsi"/>
                <w:sz w:val="22"/>
                <w:szCs w:val="22"/>
              </w:rPr>
            </w:pPr>
            <w:r w:rsidRPr="00C17A1E">
              <w:rPr>
                <w:rFonts w:asciiTheme="minorHAnsi" w:hAnsiTheme="minorHAnsi" w:cstheme="minorHAnsi"/>
                <w:sz w:val="22"/>
                <w:szCs w:val="22"/>
              </w:rPr>
              <w:t xml:space="preserve">     </w:t>
            </w:r>
            <w:r w:rsidR="003E374C" w:rsidRPr="00C17A1E">
              <w:rPr>
                <w:rFonts w:asciiTheme="minorHAnsi" w:hAnsiTheme="minorHAnsi" w:cstheme="minorHAnsi"/>
                <w:sz w:val="22"/>
                <w:szCs w:val="22"/>
              </w:rPr>
              <w:t xml:space="preserve">a. Enter the information into any shared database except the authorized DV comparable database; </w:t>
            </w:r>
          </w:p>
          <w:p w14:paraId="7C5791D9" w14:textId="77777777" w:rsidR="00C17A1E" w:rsidRPr="00C17A1E" w:rsidRDefault="00C17A1E">
            <w:pPr>
              <w:rPr>
                <w:rFonts w:asciiTheme="minorHAnsi" w:hAnsiTheme="minorHAnsi" w:cstheme="minorHAnsi"/>
                <w:sz w:val="22"/>
                <w:szCs w:val="22"/>
              </w:rPr>
            </w:pPr>
            <w:r w:rsidRPr="00C17A1E">
              <w:rPr>
                <w:rFonts w:asciiTheme="minorHAnsi" w:hAnsiTheme="minorHAnsi" w:cstheme="minorHAnsi"/>
                <w:sz w:val="22"/>
                <w:szCs w:val="22"/>
              </w:rPr>
              <w:t xml:space="preserve">     </w:t>
            </w:r>
            <w:r w:rsidR="003E374C" w:rsidRPr="00C17A1E">
              <w:rPr>
                <w:rFonts w:asciiTheme="minorHAnsi" w:hAnsiTheme="minorHAnsi" w:cstheme="minorHAnsi"/>
                <w:sz w:val="22"/>
                <w:szCs w:val="22"/>
              </w:rPr>
              <w:t xml:space="preserve">b. Allow employees or others to access the information unless they are explicitly authorized to do so and have a need to know the information for purposes of their work; or </w:t>
            </w:r>
          </w:p>
          <w:p w14:paraId="46833DA6" w14:textId="77777777" w:rsidR="00C17A1E" w:rsidRPr="00C17A1E" w:rsidRDefault="00C17A1E">
            <w:pPr>
              <w:rPr>
                <w:rFonts w:asciiTheme="minorHAnsi" w:hAnsiTheme="minorHAnsi" w:cstheme="minorHAnsi"/>
                <w:sz w:val="22"/>
                <w:szCs w:val="22"/>
              </w:rPr>
            </w:pPr>
            <w:r w:rsidRPr="00C17A1E">
              <w:rPr>
                <w:rFonts w:asciiTheme="minorHAnsi" w:hAnsiTheme="minorHAnsi" w:cstheme="minorHAnsi"/>
                <w:sz w:val="22"/>
                <w:szCs w:val="22"/>
              </w:rPr>
              <w:lastRenderedPageBreak/>
              <w:t xml:space="preserve">     </w:t>
            </w:r>
            <w:r w:rsidR="003E374C" w:rsidRPr="00C17A1E">
              <w:rPr>
                <w:rFonts w:asciiTheme="minorHAnsi" w:hAnsiTheme="minorHAnsi" w:cstheme="minorHAnsi"/>
                <w:sz w:val="22"/>
                <w:szCs w:val="22"/>
              </w:rPr>
              <w:t xml:space="preserve">c. Provide the information to any other entity or individual, except to the extent that the disclosure is: </w:t>
            </w:r>
          </w:p>
          <w:p w14:paraId="33E0E10C" w14:textId="77777777" w:rsidR="00C17A1E" w:rsidRPr="00C17A1E" w:rsidRDefault="00C17A1E">
            <w:pPr>
              <w:rPr>
                <w:rFonts w:asciiTheme="minorHAnsi" w:hAnsiTheme="minorHAnsi" w:cstheme="minorHAnsi"/>
                <w:sz w:val="22"/>
                <w:szCs w:val="22"/>
              </w:rPr>
            </w:pPr>
            <w:r w:rsidRPr="00C17A1E">
              <w:rPr>
                <w:rFonts w:asciiTheme="minorHAnsi" w:hAnsiTheme="minorHAnsi" w:cstheme="minorHAnsi"/>
                <w:sz w:val="22"/>
                <w:szCs w:val="22"/>
              </w:rPr>
              <w:t xml:space="preserve">          </w:t>
            </w:r>
            <w:r w:rsidR="003E374C" w:rsidRPr="00C17A1E">
              <w:rPr>
                <w:rFonts w:asciiTheme="minorHAnsi" w:hAnsiTheme="minorHAnsi" w:cstheme="minorHAnsi"/>
                <w:sz w:val="22"/>
                <w:szCs w:val="22"/>
              </w:rPr>
              <w:t xml:space="preserve">i. Requested or consented by the individual, in writing stating permission to release the information on a time-limited basis; </w:t>
            </w:r>
          </w:p>
          <w:p w14:paraId="552657BC" w14:textId="77777777" w:rsidR="00C17A1E" w:rsidRPr="00C17A1E" w:rsidRDefault="00C17A1E">
            <w:pPr>
              <w:rPr>
                <w:rFonts w:asciiTheme="minorHAnsi" w:hAnsiTheme="minorHAnsi" w:cstheme="minorHAnsi"/>
                <w:sz w:val="22"/>
                <w:szCs w:val="22"/>
              </w:rPr>
            </w:pPr>
            <w:r w:rsidRPr="00C17A1E">
              <w:rPr>
                <w:rFonts w:asciiTheme="minorHAnsi" w:hAnsiTheme="minorHAnsi" w:cstheme="minorHAnsi"/>
                <w:sz w:val="22"/>
                <w:szCs w:val="22"/>
              </w:rPr>
              <w:t xml:space="preserve">          </w:t>
            </w:r>
            <w:r w:rsidR="003E374C" w:rsidRPr="00C17A1E">
              <w:rPr>
                <w:rFonts w:asciiTheme="minorHAnsi" w:hAnsiTheme="minorHAnsi" w:cstheme="minorHAnsi"/>
                <w:sz w:val="22"/>
                <w:szCs w:val="22"/>
              </w:rPr>
              <w:t xml:space="preserve">ii. Required for use in an eviction proceeding or hearing regarding termination of assistance from the covered program; or </w:t>
            </w:r>
          </w:p>
          <w:p w14:paraId="3B00A0FD" w14:textId="77777777" w:rsidR="00C17A1E" w:rsidRPr="00C17A1E" w:rsidRDefault="00C17A1E" w:rsidP="00C17A1E">
            <w:pPr>
              <w:rPr>
                <w:rFonts w:asciiTheme="minorHAnsi" w:hAnsiTheme="minorHAnsi" w:cstheme="minorHAnsi"/>
                <w:sz w:val="22"/>
                <w:szCs w:val="22"/>
              </w:rPr>
            </w:pPr>
            <w:r w:rsidRPr="00C17A1E">
              <w:rPr>
                <w:rFonts w:asciiTheme="minorHAnsi" w:hAnsiTheme="minorHAnsi" w:cstheme="minorHAnsi"/>
                <w:sz w:val="22"/>
                <w:szCs w:val="22"/>
              </w:rPr>
              <w:t xml:space="preserve">          </w:t>
            </w:r>
            <w:r w:rsidR="003E374C" w:rsidRPr="00C17A1E">
              <w:rPr>
                <w:rFonts w:asciiTheme="minorHAnsi" w:hAnsiTheme="minorHAnsi" w:cstheme="minorHAnsi"/>
                <w:sz w:val="22"/>
                <w:szCs w:val="22"/>
              </w:rPr>
              <w:t xml:space="preserve">iii. Otherwise required by applicable law </w:t>
            </w:r>
          </w:p>
          <w:p w14:paraId="222CCDA6" w14:textId="77777777" w:rsidR="00ED1B9C" w:rsidRPr="00C17A1E" w:rsidRDefault="00C17A1E" w:rsidP="00C17A1E">
            <w:pPr>
              <w:rPr>
                <w:rFonts w:asciiTheme="minorHAnsi" w:hAnsiTheme="minorHAnsi" w:cstheme="minorHAnsi"/>
                <w:sz w:val="22"/>
                <w:szCs w:val="22"/>
              </w:rPr>
            </w:pPr>
            <w:r w:rsidRPr="00C17A1E">
              <w:rPr>
                <w:rFonts w:asciiTheme="minorHAnsi" w:hAnsiTheme="minorHAnsi" w:cstheme="minorHAnsi"/>
                <w:sz w:val="22"/>
                <w:szCs w:val="22"/>
              </w:rPr>
              <w:t xml:space="preserve">     </w:t>
            </w:r>
            <w:r w:rsidR="003E374C" w:rsidRPr="00C17A1E">
              <w:rPr>
                <w:rFonts w:asciiTheme="minorHAnsi" w:hAnsiTheme="minorHAnsi" w:cstheme="minorHAnsi"/>
                <w:sz w:val="22"/>
                <w:szCs w:val="22"/>
              </w:rPr>
              <w:t xml:space="preserve">d. If program disclosure is required for use in an eviction proceeding or is otherwise required by applicable law, the program will inform the victim before disclosure occurs so that safety risks can be identified and addressed. 24 CFR 5.2005 (e)(4) </w:t>
            </w:r>
          </w:p>
        </w:tc>
        <w:tc>
          <w:tcPr>
            <w:tcW w:w="529" w:type="dxa"/>
          </w:tcPr>
          <w:p w14:paraId="2BDA1493" w14:textId="77777777" w:rsidR="00ED1B9C" w:rsidRPr="00ED1B9C" w:rsidRDefault="00ED1B9C">
            <w:pPr>
              <w:rPr>
                <w:rFonts w:asciiTheme="minorHAnsi" w:hAnsiTheme="minorHAnsi"/>
                <w:sz w:val="20"/>
                <w:szCs w:val="20"/>
              </w:rPr>
            </w:pPr>
          </w:p>
        </w:tc>
        <w:tc>
          <w:tcPr>
            <w:tcW w:w="538" w:type="dxa"/>
          </w:tcPr>
          <w:p w14:paraId="685418E0" w14:textId="77777777" w:rsidR="00ED1B9C" w:rsidRPr="00ED1B9C" w:rsidRDefault="00ED1B9C">
            <w:pPr>
              <w:rPr>
                <w:rFonts w:asciiTheme="minorHAnsi" w:hAnsiTheme="minorHAnsi"/>
                <w:sz w:val="20"/>
                <w:szCs w:val="20"/>
              </w:rPr>
            </w:pPr>
          </w:p>
        </w:tc>
        <w:tc>
          <w:tcPr>
            <w:tcW w:w="2329" w:type="dxa"/>
          </w:tcPr>
          <w:p w14:paraId="7D4B4288" w14:textId="77777777" w:rsidR="00ED1B9C" w:rsidRPr="00ED1B9C" w:rsidRDefault="00ED1B9C">
            <w:pPr>
              <w:rPr>
                <w:rFonts w:asciiTheme="minorHAnsi" w:hAnsiTheme="minorHAnsi"/>
                <w:sz w:val="20"/>
                <w:szCs w:val="20"/>
              </w:rPr>
            </w:pPr>
          </w:p>
        </w:tc>
      </w:tr>
      <w:tr w:rsidR="00ED1B9C" w:rsidRPr="00ED1B9C" w14:paraId="0C3DC90E" w14:textId="77777777" w:rsidTr="002F5E2E">
        <w:trPr>
          <w:trHeight w:val="301"/>
        </w:trPr>
        <w:tc>
          <w:tcPr>
            <w:tcW w:w="7759" w:type="dxa"/>
          </w:tcPr>
          <w:p w14:paraId="16D4B45C" w14:textId="77777777" w:rsidR="00ED1B9C"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 xml:space="preserve">7. Upon request for an emergency transfer, the housing provider must establish an individualized plan with the tenant and provide a copy of the plan to the tenant in writing. The housing provider will offer to assist participants in contacting local organizations offering assistance to victims of domestic violence, dating violence, sexual assault, or stalking. </w:t>
            </w:r>
          </w:p>
        </w:tc>
        <w:tc>
          <w:tcPr>
            <w:tcW w:w="529" w:type="dxa"/>
          </w:tcPr>
          <w:p w14:paraId="7917D86D" w14:textId="77777777" w:rsidR="00ED1B9C" w:rsidRPr="00ED1B9C" w:rsidRDefault="00ED1B9C">
            <w:pPr>
              <w:rPr>
                <w:rFonts w:asciiTheme="minorHAnsi" w:hAnsiTheme="minorHAnsi"/>
                <w:sz w:val="20"/>
                <w:szCs w:val="20"/>
              </w:rPr>
            </w:pPr>
          </w:p>
        </w:tc>
        <w:tc>
          <w:tcPr>
            <w:tcW w:w="538" w:type="dxa"/>
          </w:tcPr>
          <w:p w14:paraId="22D6D7D8" w14:textId="77777777" w:rsidR="00ED1B9C" w:rsidRPr="00ED1B9C" w:rsidRDefault="00ED1B9C">
            <w:pPr>
              <w:rPr>
                <w:rFonts w:asciiTheme="minorHAnsi" w:hAnsiTheme="minorHAnsi"/>
                <w:sz w:val="20"/>
                <w:szCs w:val="20"/>
              </w:rPr>
            </w:pPr>
          </w:p>
        </w:tc>
        <w:tc>
          <w:tcPr>
            <w:tcW w:w="2329" w:type="dxa"/>
          </w:tcPr>
          <w:p w14:paraId="272331E4" w14:textId="77777777" w:rsidR="00ED1B9C" w:rsidRPr="00ED1B9C" w:rsidRDefault="00ED1B9C">
            <w:pPr>
              <w:rPr>
                <w:rFonts w:asciiTheme="minorHAnsi" w:hAnsiTheme="minorHAnsi"/>
                <w:sz w:val="20"/>
                <w:szCs w:val="20"/>
              </w:rPr>
            </w:pPr>
          </w:p>
        </w:tc>
      </w:tr>
      <w:tr w:rsidR="00ED1B9C" w:rsidRPr="00ED1B9C" w14:paraId="7FDA9612" w14:textId="77777777" w:rsidTr="002F5E2E">
        <w:trPr>
          <w:trHeight w:val="301"/>
        </w:trPr>
        <w:tc>
          <w:tcPr>
            <w:tcW w:w="7759" w:type="dxa"/>
          </w:tcPr>
          <w:p w14:paraId="3956CDAB" w14:textId="77777777" w:rsidR="00ED1B9C" w:rsidRPr="00C17A1E" w:rsidRDefault="003E374C" w:rsidP="00C17A1E">
            <w:pPr>
              <w:rPr>
                <w:rFonts w:asciiTheme="minorHAnsi" w:hAnsiTheme="minorHAnsi" w:cstheme="minorHAnsi"/>
                <w:sz w:val="22"/>
                <w:szCs w:val="22"/>
              </w:rPr>
            </w:pPr>
            <w:r w:rsidRPr="00C17A1E">
              <w:rPr>
                <w:rFonts w:asciiTheme="minorHAnsi" w:hAnsiTheme="minorHAnsi" w:cstheme="minorHAnsi"/>
                <w:sz w:val="22"/>
                <w:szCs w:val="22"/>
              </w:rPr>
              <w:t xml:space="preserve">8. Program staff must complete an immediate initial emergency transfer if a safe unit can be identified. The participant will move to the new unit without having to undergo an application process. Program staff will assist participants in planning for the move and establishing residency in new location. 24 CFR 5.2005(e)(5)(6) </w:t>
            </w:r>
          </w:p>
        </w:tc>
        <w:tc>
          <w:tcPr>
            <w:tcW w:w="529" w:type="dxa"/>
          </w:tcPr>
          <w:p w14:paraId="521CD9B5" w14:textId="77777777" w:rsidR="00ED1B9C" w:rsidRPr="00ED1B9C" w:rsidRDefault="00ED1B9C">
            <w:pPr>
              <w:rPr>
                <w:rFonts w:asciiTheme="minorHAnsi" w:hAnsiTheme="minorHAnsi"/>
                <w:sz w:val="20"/>
                <w:szCs w:val="20"/>
              </w:rPr>
            </w:pPr>
          </w:p>
        </w:tc>
        <w:tc>
          <w:tcPr>
            <w:tcW w:w="538" w:type="dxa"/>
          </w:tcPr>
          <w:p w14:paraId="37D8E49F" w14:textId="77777777" w:rsidR="00ED1B9C" w:rsidRPr="00ED1B9C" w:rsidRDefault="00ED1B9C">
            <w:pPr>
              <w:rPr>
                <w:rFonts w:asciiTheme="minorHAnsi" w:hAnsiTheme="minorHAnsi"/>
                <w:sz w:val="20"/>
                <w:szCs w:val="20"/>
              </w:rPr>
            </w:pPr>
          </w:p>
        </w:tc>
        <w:tc>
          <w:tcPr>
            <w:tcW w:w="2329" w:type="dxa"/>
          </w:tcPr>
          <w:p w14:paraId="16C788DF" w14:textId="77777777" w:rsidR="00ED1B9C" w:rsidRPr="00ED1B9C" w:rsidRDefault="00ED1B9C">
            <w:pPr>
              <w:rPr>
                <w:rFonts w:asciiTheme="minorHAnsi" w:hAnsiTheme="minorHAnsi"/>
                <w:sz w:val="20"/>
                <w:szCs w:val="20"/>
              </w:rPr>
            </w:pPr>
          </w:p>
        </w:tc>
      </w:tr>
      <w:tr w:rsidR="005D62EE" w:rsidRPr="00ED1B9C" w14:paraId="235C8983" w14:textId="77777777" w:rsidTr="002F5E2E">
        <w:trPr>
          <w:trHeight w:val="301"/>
        </w:trPr>
        <w:tc>
          <w:tcPr>
            <w:tcW w:w="7759" w:type="dxa"/>
          </w:tcPr>
          <w:p w14:paraId="7FBC202E" w14:textId="77777777" w:rsidR="005D62EE"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9. If a participant must move outside of the current project to locate a safe unit, the program staff must communicate with the Coordinated Entry Manager to complete an external emergency transfer. The participant will move to another unit as soon as a unit is identified as available, and on its face, it appears that the tenant is eligible. The applicant will subsequently undergo an application process in order to establish permanent residency in the new unit. 24 CFR 5.2005 (e)(7)</w:t>
            </w:r>
          </w:p>
        </w:tc>
        <w:tc>
          <w:tcPr>
            <w:tcW w:w="529" w:type="dxa"/>
          </w:tcPr>
          <w:p w14:paraId="6F2B776C" w14:textId="77777777" w:rsidR="005D62EE" w:rsidRPr="00ED1B9C" w:rsidRDefault="005D62EE">
            <w:pPr>
              <w:rPr>
                <w:rFonts w:asciiTheme="minorHAnsi" w:hAnsiTheme="minorHAnsi"/>
                <w:sz w:val="20"/>
                <w:szCs w:val="20"/>
              </w:rPr>
            </w:pPr>
          </w:p>
        </w:tc>
        <w:tc>
          <w:tcPr>
            <w:tcW w:w="538" w:type="dxa"/>
          </w:tcPr>
          <w:p w14:paraId="71916E08" w14:textId="77777777" w:rsidR="005D62EE" w:rsidRPr="00ED1B9C" w:rsidRDefault="005D62EE">
            <w:pPr>
              <w:rPr>
                <w:rFonts w:asciiTheme="minorHAnsi" w:hAnsiTheme="minorHAnsi"/>
                <w:sz w:val="20"/>
                <w:szCs w:val="20"/>
              </w:rPr>
            </w:pPr>
          </w:p>
        </w:tc>
        <w:tc>
          <w:tcPr>
            <w:tcW w:w="2329" w:type="dxa"/>
          </w:tcPr>
          <w:p w14:paraId="73371639" w14:textId="77777777" w:rsidR="005D62EE" w:rsidRPr="00ED1B9C" w:rsidRDefault="005D62EE">
            <w:pPr>
              <w:rPr>
                <w:rFonts w:asciiTheme="minorHAnsi" w:hAnsiTheme="minorHAnsi"/>
                <w:sz w:val="20"/>
                <w:szCs w:val="20"/>
              </w:rPr>
            </w:pPr>
          </w:p>
        </w:tc>
      </w:tr>
      <w:tr w:rsidR="005D62EE" w:rsidRPr="00ED1B9C" w14:paraId="0FC2BF56" w14:textId="77777777" w:rsidTr="002F5E2E">
        <w:trPr>
          <w:trHeight w:val="301"/>
        </w:trPr>
        <w:tc>
          <w:tcPr>
            <w:tcW w:w="7759" w:type="dxa"/>
          </w:tcPr>
          <w:p w14:paraId="3014235C" w14:textId="77777777" w:rsidR="005D62EE" w:rsidRPr="00C17A1E" w:rsidRDefault="003E374C" w:rsidP="00C17A1E">
            <w:pPr>
              <w:pStyle w:val="NoSpacing"/>
              <w:rPr>
                <w:sz w:val="22"/>
                <w:szCs w:val="22"/>
              </w:rPr>
            </w:pPr>
            <w:r w:rsidRPr="00C17A1E">
              <w:rPr>
                <w:sz w:val="22"/>
                <w:szCs w:val="22"/>
              </w:rPr>
              <w:t>10. Program participants requesting an emergency transfer will be prioritized above any other households for open units. 24 CFR 5.2005 (e)(3)</w:t>
            </w:r>
          </w:p>
        </w:tc>
        <w:tc>
          <w:tcPr>
            <w:tcW w:w="529" w:type="dxa"/>
          </w:tcPr>
          <w:p w14:paraId="0F9D3FD1" w14:textId="77777777" w:rsidR="005D62EE" w:rsidRPr="00ED1B9C" w:rsidRDefault="005D62EE">
            <w:pPr>
              <w:rPr>
                <w:rFonts w:asciiTheme="minorHAnsi" w:hAnsiTheme="minorHAnsi"/>
                <w:sz w:val="20"/>
                <w:szCs w:val="20"/>
              </w:rPr>
            </w:pPr>
          </w:p>
        </w:tc>
        <w:tc>
          <w:tcPr>
            <w:tcW w:w="538" w:type="dxa"/>
          </w:tcPr>
          <w:p w14:paraId="1EA5DBAB" w14:textId="77777777" w:rsidR="005D62EE" w:rsidRPr="00ED1B9C" w:rsidRDefault="005D62EE">
            <w:pPr>
              <w:rPr>
                <w:rFonts w:asciiTheme="minorHAnsi" w:hAnsiTheme="minorHAnsi"/>
                <w:sz w:val="20"/>
                <w:szCs w:val="20"/>
              </w:rPr>
            </w:pPr>
          </w:p>
        </w:tc>
        <w:tc>
          <w:tcPr>
            <w:tcW w:w="2329" w:type="dxa"/>
          </w:tcPr>
          <w:p w14:paraId="5BE8DF13" w14:textId="77777777" w:rsidR="005D62EE" w:rsidRPr="00ED1B9C" w:rsidRDefault="005D62EE">
            <w:pPr>
              <w:rPr>
                <w:rFonts w:asciiTheme="minorHAnsi" w:hAnsiTheme="minorHAnsi"/>
                <w:sz w:val="20"/>
                <w:szCs w:val="20"/>
              </w:rPr>
            </w:pPr>
          </w:p>
        </w:tc>
      </w:tr>
      <w:tr w:rsidR="005D62EE" w:rsidRPr="00ED1B9C" w14:paraId="6A5B31ED" w14:textId="77777777" w:rsidTr="002F5E2E">
        <w:trPr>
          <w:trHeight w:val="301"/>
        </w:trPr>
        <w:tc>
          <w:tcPr>
            <w:tcW w:w="7759" w:type="dxa"/>
          </w:tcPr>
          <w:p w14:paraId="3D32FB24" w14:textId="77777777" w:rsidR="005D62EE"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11. The program participant will make a decision on whether or not a unit qualifies as a safe unit</w:t>
            </w:r>
          </w:p>
        </w:tc>
        <w:tc>
          <w:tcPr>
            <w:tcW w:w="529" w:type="dxa"/>
          </w:tcPr>
          <w:p w14:paraId="67D9770E" w14:textId="77777777" w:rsidR="005D62EE" w:rsidRPr="00ED1B9C" w:rsidRDefault="005D62EE">
            <w:pPr>
              <w:rPr>
                <w:rFonts w:asciiTheme="minorHAnsi" w:hAnsiTheme="minorHAnsi"/>
                <w:sz w:val="20"/>
                <w:szCs w:val="20"/>
              </w:rPr>
            </w:pPr>
          </w:p>
        </w:tc>
        <w:tc>
          <w:tcPr>
            <w:tcW w:w="538" w:type="dxa"/>
          </w:tcPr>
          <w:p w14:paraId="1CB95245" w14:textId="77777777" w:rsidR="005D62EE" w:rsidRPr="00ED1B9C" w:rsidRDefault="005D62EE">
            <w:pPr>
              <w:rPr>
                <w:rFonts w:asciiTheme="minorHAnsi" w:hAnsiTheme="minorHAnsi"/>
                <w:sz w:val="20"/>
                <w:szCs w:val="20"/>
              </w:rPr>
            </w:pPr>
          </w:p>
        </w:tc>
        <w:tc>
          <w:tcPr>
            <w:tcW w:w="2329" w:type="dxa"/>
          </w:tcPr>
          <w:p w14:paraId="0C95D00D" w14:textId="77777777" w:rsidR="005D62EE" w:rsidRPr="00ED1B9C" w:rsidRDefault="005D62EE">
            <w:pPr>
              <w:rPr>
                <w:rFonts w:asciiTheme="minorHAnsi" w:hAnsiTheme="minorHAnsi"/>
                <w:sz w:val="20"/>
                <w:szCs w:val="20"/>
              </w:rPr>
            </w:pPr>
          </w:p>
        </w:tc>
      </w:tr>
      <w:tr w:rsidR="003E374C" w:rsidRPr="00ED1B9C" w14:paraId="7A7FB08D" w14:textId="77777777" w:rsidTr="002F5E2E">
        <w:trPr>
          <w:trHeight w:val="301"/>
        </w:trPr>
        <w:tc>
          <w:tcPr>
            <w:tcW w:w="7759" w:type="dxa"/>
          </w:tcPr>
          <w:p w14:paraId="47973B92" w14:textId="77777777" w:rsidR="003E374C"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12. Program participants may request an external emergency transfer. Participants may also request both an internal and external transfer at the same time in order to speed up the process of identifying a new unit. 24 CFR 5.2005(e)(7)(8)</w:t>
            </w:r>
          </w:p>
        </w:tc>
        <w:tc>
          <w:tcPr>
            <w:tcW w:w="529" w:type="dxa"/>
          </w:tcPr>
          <w:p w14:paraId="0FD52E27" w14:textId="77777777" w:rsidR="003E374C" w:rsidRPr="00ED1B9C" w:rsidRDefault="003E374C">
            <w:pPr>
              <w:rPr>
                <w:rFonts w:asciiTheme="minorHAnsi" w:hAnsiTheme="minorHAnsi"/>
                <w:sz w:val="20"/>
                <w:szCs w:val="20"/>
              </w:rPr>
            </w:pPr>
          </w:p>
        </w:tc>
        <w:tc>
          <w:tcPr>
            <w:tcW w:w="538" w:type="dxa"/>
          </w:tcPr>
          <w:p w14:paraId="0058470B" w14:textId="77777777" w:rsidR="003E374C" w:rsidRPr="00ED1B9C" w:rsidRDefault="003E374C">
            <w:pPr>
              <w:rPr>
                <w:rFonts w:asciiTheme="minorHAnsi" w:hAnsiTheme="minorHAnsi"/>
                <w:sz w:val="20"/>
                <w:szCs w:val="20"/>
              </w:rPr>
            </w:pPr>
          </w:p>
        </w:tc>
        <w:tc>
          <w:tcPr>
            <w:tcW w:w="2329" w:type="dxa"/>
          </w:tcPr>
          <w:p w14:paraId="55AA1F4D" w14:textId="77777777" w:rsidR="003E374C" w:rsidRPr="00ED1B9C" w:rsidRDefault="003E374C">
            <w:pPr>
              <w:rPr>
                <w:rFonts w:asciiTheme="minorHAnsi" w:hAnsiTheme="minorHAnsi"/>
                <w:sz w:val="20"/>
                <w:szCs w:val="20"/>
              </w:rPr>
            </w:pPr>
          </w:p>
        </w:tc>
      </w:tr>
      <w:tr w:rsidR="003E374C" w:rsidRPr="00ED1B9C" w14:paraId="71F9A440" w14:textId="77777777" w:rsidTr="002F5E2E">
        <w:trPr>
          <w:trHeight w:val="301"/>
        </w:trPr>
        <w:tc>
          <w:tcPr>
            <w:tcW w:w="7759" w:type="dxa"/>
          </w:tcPr>
          <w:p w14:paraId="0FA508D0" w14:textId="77777777" w:rsidR="003E374C"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13. Agencies participating in Coordinated Entry must accept emergency transfers as they have available units that are deemed safe. 24 CFR 5.2005(e)(7)</w:t>
            </w:r>
          </w:p>
        </w:tc>
        <w:tc>
          <w:tcPr>
            <w:tcW w:w="529" w:type="dxa"/>
          </w:tcPr>
          <w:p w14:paraId="494FC324" w14:textId="77777777" w:rsidR="003E374C" w:rsidRPr="00ED1B9C" w:rsidRDefault="003E374C">
            <w:pPr>
              <w:rPr>
                <w:rFonts w:asciiTheme="minorHAnsi" w:hAnsiTheme="minorHAnsi"/>
                <w:sz w:val="20"/>
                <w:szCs w:val="20"/>
              </w:rPr>
            </w:pPr>
          </w:p>
        </w:tc>
        <w:tc>
          <w:tcPr>
            <w:tcW w:w="538" w:type="dxa"/>
          </w:tcPr>
          <w:p w14:paraId="13FE2308" w14:textId="77777777" w:rsidR="003E374C" w:rsidRPr="00ED1B9C" w:rsidRDefault="003E374C">
            <w:pPr>
              <w:rPr>
                <w:rFonts w:asciiTheme="minorHAnsi" w:hAnsiTheme="minorHAnsi"/>
                <w:sz w:val="20"/>
                <w:szCs w:val="20"/>
              </w:rPr>
            </w:pPr>
          </w:p>
        </w:tc>
        <w:tc>
          <w:tcPr>
            <w:tcW w:w="2329" w:type="dxa"/>
          </w:tcPr>
          <w:p w14:paraId="1792B36A" w14:textId="77777777" w:rsidR="003E374C" w:rsidRPr="00ED1B9C" w:rsidRDefault="003E374C">
            <w:pPr>
              <w:rPr>
                <w:rFonts w:asciiTheme="minorHAnsi" w:hAnsiTheme="minorHAnsi"/>
                <w:sz w:val="20"/>
                <w:szCs w:val="20"/>
              </w:rPr>
            </w:pPr>
          </w:p>
        </w:tc>
      </w:tr>
      <w:tr w:rsidR="003E374C" w:rsidRPr="00ED1B9C" w14:paraId="5214C42B" w14:textId="77777777" w:rsidTr="002F5E2E">
        <w:trPr>
          <w:trHeight w:val="301"/>
        </w:trPr>
        <w:tc>
          <w:tcPr>
            <w:tcW w:w="7759" w:type="dxa"/>
          </w:tcPr>
          <w:p w14:paraId="111F14AD" w14:textId="77777777" w:rsidR="003E374C"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14. Program staff will work together to ensure a timely transfer to a new safe unit, ideally within 60 days. If needed, the participant may seek shelter while a permanent safe unit is being secured.</w:t>
            </w:r>
          </w:p>
        </w:tc>
        <w:tc>
          <w:tcPr>
            <w:tcW w:w="529" w:type="dxa"/>
          </w:tcPr>
          <w:p w14:paraId="7068FA33" w14:textId="77777777" w:rsidR="003E374C" w:rsidRPr="00ED1B9C" w:rsidRDefault="003E374C">
            <w:pPr>
              <w:rPr>
                <w:rFonts w:asciiTheme="minorHAnsi" w:hAnsiTheme="minorHAnsi"/>
                <w:sz w:val="20"/>
                <w:szCs w:val="20"/>
              </w:rPr>
            </w:pPr>
          </w:p>
        </w:tc>
        <w:tc>
          <w:tcPr>
            <w:tcW w:w="538" w:type="dxa"/>
          </w:tcPr>
          <w:p w14:paraId="06537011" w14:textId="77777777" w:rsidR="003E374C" w:rsidRPr="00ED1B9C" w:rsidRDefault="003E374C">
            <w:pPr>
              <w:rPr>
                <w:rFonts w:asciiTheme="minorHAnsi" w:hAnsiTheme="minorHAnsi"/>
                <w:sz w:val="20"/>
                <w:szCs w:val="20"/>
              </w:rPr>
            </w:pPr>
          </w:p>
        </w:tc>
        <w:tc>
          <w:tcPr>
            <w:tcW w:w="2329" w:type="dxa"/>
          </w:tcPr>
          <w:p w14:paraId="49FEE144" w14:textId="77777777" w:rsidR="003E374C" w:rsidRPr="00ED1B9C" w:rsidRDefault="003E374C">
            <w:pPr>
              <w:rPr>
                <w:rFonts w:asciiTheme="minorHAnsi" w:hAnsiTheme="minorHAnsi"/>
                <w:sz w:val="20"/>
                <w:szCs w:val="20"/>
              </w:rPr>
            </w:pPr>
          </w:p>
        </w:tc>
      </w:tr>
      <w:tr w:rsidR="003E374C" w:rsidRPr="00ED1B9C" w14:paraId="52157A32" w14:textId="77777777" w:rsidTr="002F5E2E">
        <w:trPr>
          <w:trHeight w:val="301"/>
        </w:trPr>
        <w:tc>
          <w:tcPr>
            <w:tcW w:w="7759" w:type="dxa"/>
          </w:tcPr>
          <w:p w14:paraId="01B696FE" w14:textId="77777777" w:rsidR="003E374C" w:rsidRPr="00C17A1E" w:rsidRDefault="003E374C">
            <w:pPr>
              <w:rPr>
                <w:rFonts w:asciiTheme="minorHAnsi" w:hAnsiTheme="minorHAnsi" w:cstheme="minorHAnsi"/>
                <w:sz w:val="22"/>
                <w:szCs w:val="22"/>
              </w:rPr>
            </w:pPr>
            <w:r w:rsidRPr="00C17A1E">
              <w:rPr>
                <w:rFonts w:asciiTheme="minorHAnsi" w:hAnsiTheme="minorHAnsi" w:cstheme="minorHAnsi"/>
                <w:sz w:val="22"/>
                <w:szCs w:val="22"/>
              </w:rPr>
              <w:t>15. For families receiving tenant-based rental assistance, if the family separates in order to affect an emergency transfer, the housing provider must work with the members requesting a transfer to locate new housing and with the family members exiting from the program on housing stability. This may include working with the landlord so the family can stay in the unit or work towards a mutual lease termination. The housing provider will conduct a housing search with the family members for 90 days and if not housed, connect to another provider for ongoing assistance. 24 CFR 5.2005(e)(9)</w:t>
            </w:r>
          </w:p>
        </w:tc>
        <w:tc>
          <w:tcPr>
            <w:tcW w:w="529" w:type="dxa"/>
          </w:tcPr>
          <w:p w14:paraId="54CB3AEE" w14:textId="77777777" w:rsidR="003E374C" w:rsidRPr="00ED1B9C" w:rsidRDefault="003E374C">
            <w:pPr>
              <w:rPr>
                <w:rFonts w:asciiTheme="minorHAnsi" w:hAnsiTheme="minorHAnsi"/>
                <w:sz w:val="20"/>
                <w:szCs w:val="20"/>
              </w:rPr>
            </w:pPr>
          </w:p>
        </w:tc>
        <w:tc>
          <w:tcPr>
            <w:tcW w:w="538" w:type="dxa"/>
          </w:tcPr>
          <w:p w14:paraId="13A0A032" w14:textId="77777777" w:rsidR="003E374C" w:rsidRPr="00ED1B9C" w:rsidRDefault="003E374C">
            <w:pPr>
              <w:rPr>
                <w:rFonts w:asciiTheme="minorHAnsi" w:hAnsiTheme="minorHAnsi"/>
                <w:sz w:val="20"/>
                <w:szCs w:val="20"/>
              </w:rPr>
            </w:pPr>
          </w:p>
        </w:tc>
        <w:tc>
          <w:tcPr>
            <w:tcW w:w="2329" w:type="dxa"/>
          </w:tcPr>
          <w:p w14:paraId="142E5F94" w14:textId="77777777" w:rsidR="003E374C" w:rsidRPr="00ED1B9C" w:rsidRDefault="003E374C">
            <w:pPr>
              <w:rPr>
                <w:rFonts w:asciiTheme="minorHAnsi" w:hAnsiTheme="minorHAnsi"/>
                <w:sz w:val="20"/>
                <w:szCs w:val="20"/>
              </w:rPr>
            </w:pPr>
          </w:p>
        </w:tc>
      </w:tr>
      <w:tr w:rsidR="003E374C" w:rsidRPr="00ED1B9C" w14:paraId="0F650781" w14:textId="77777777" w:rsidTr="002F5E2E">
        <w:trPr>
          <w:trHeight w:val="301"/>
        </w:trPr>
        <w:tc>
          <w:tcPr>
            <w:tcW w:w="7759" w:type="dxa"/>
          </w:tcPr>
          <w:p w14:paraId="1CFDAA4E" w14:textId="77777777" w:rsidR="004E44EA" w:rsidRPr="004E44EA" w:rsidRDefault="003E374C" w:rsidP="004E44EA">
            <w:pPr>
              <w:rPr>
                <w:rFonts w:asciiTheme="minorHAnsi" w:hAnsiTheme="minorHAnsi" w:cstheme="minorHAnsi"/>
                <w:sz w:val="22"/>
                <w:szCs w:val="22"/>
              </w:rPr>
            </w:pPr>
            <w:r w:rsidRPr="004E44EA">
              <w:rPr>
                <w:rFonts w:asciiTheme="minorHAnsi" w:hAnsiTheme="minorHAnsi" w:cstheme="minorHAnsi"/>
                <w:sz w:val="22"/>
                <w:szCs w:val="22"/>
              </w:rPr>
              <w:t xml:space="preserve">16. Housing providers are not required to request documentation. However, the housing provider, at its discretion, may make a written request for documentation from the tenant of the occurrence of domestic violence, dating violence, sexual assault, or stalking for which the emergency transfer is requested. Housing provider’s policies must include their policy for requesting documentation, if they </w:t>
            </w:r>
            <w:r w:rsidRPr="004E44EA">
              <w:rPr>
                <w:rFonts w:asciiTheme="minorHAnsi" w:hAnsiTheme="minorHAnsi" w:cstheme="minorHAnsi"/>
                <w:sz w:val="22"/>
                <w:szCs w:val="22"/>
              </w:rPr>
              <w:lastRenderedPageBreak/>
              <w:t xml:space="preserve">choose to request documentation. The policy must be consistent with these standards and equally applied to all participants. Should the housing provider exercise its discretion to request documentation, it shall do so in writing. The written request shall inform the tenant of the types of additional documentation that may be provided, any one of which would be acceptable, and the period of time by which the documentation is to be provided. The period of time shall be no less than 14 days and may be extended by the provider. This documentation may include: </w:t>
            </w:r>
            <w:r w:rsidR="004E44EA" w:rsidRPr="004E44EA">
              <w:rPr>
                <w:rFonts w:asciiTheme="minorHAnsi" w:hAnsiTheme="minorHAnsi" w:cstheme="minorHAnsi"/>
                <w:sz w:val="22"/>
                <w:szCs w:val="22"/>
              </w:rPr>
              <w:t xml:space="preserve">       </w:t>
            </w:r>
          </w:p>
          <w:p w14:paraId="4A7B3984" w14:textId="77777777" w:rsidR="004E44EA" w:rsidRPr="004E44EA" w:rsidRDefault="004E44EA" w:rsidP="004E44EA">
            <w:pPr>
              <w:rPr>
                <w:rFonts w:asciiTheme="minorHAnsi" w:hAnsiTheme="minorHAnsi" w:cstheme="minorHAnsi"/>
                <w:sz w:val="22"/>
                <w:szCs w:val="22"/>
              </w:rPr>
            </w:pPr>
            <w:r w:rsidRPr="004E44EA">
              <w:rPr>
                <w:rFonts w:asciiTheme="minorHAnsi" w:hAnsiTheme="minorHAnsi" w:cstheme="minorHAnsi"/>
                <w:sz w:val="22"/>
                <w:szCs w:val="22"/>
              </w:rPr>
              <w:t xml:space="preserve">     </w:t>
            </w:r>
            <w:r w:rsidR="003E374C" w:rsidRPr="004E44EA">
              <w:rPr>
                <w:rFonts w:asciiTheme="minorHAnsi" w:hAnsiTheme="minorHAnsi" w:cstheme="minorHAnsi"/>
                <w:sz w:val="22"/>
                <w:szCs w:val="22"/>
              </w:rPr>
              <w:t xml:space="preserve">a. Certification Form (see Appendix) </w:t>
            </w:r>
          </w:p>
          <w:p w14:paraId="745A6C38" w14:textId="77777777" w:rsidR="004E44EA" w:rsidRPr="004E44EA" w:rsidRDefault="004E44EA" w:rsidP="004E44EA">
            <w:pPr>
              <w:rPr>
                <w:rFonts w:asciiTheme="minorHAnsi" w:hAnsiTheme="minorHAnsi" w:cstheme="minorHAnsi"/>
                <w:sz w:val="22"/>
                <w:szCs w:val="22"/>
              </w:rPr>
            </w:pPr>
            <w:r w:rsidRPr="004E44EA">
              <w:rPr>
                <w:rFonts w:asciiTheme="minorHAnsi" w:hAnsiTheme="minorHAnsi" w:cstheme="minorHAnsi"/>
                <w:sz w:val="22"/>
                <w:szCs w:val="22"/>
              </w:rPr>
              <w:t xml:space="preserve">     </w:t>
            </w:r>
            <w:r w:rsidR="003E374C" w:rsidRPr="004E44EA">
              <w:rPr>
                <w:rFonts w:asciiTheme="minorHAnsi" w:hAnsiTheme="minorHAnsi" w:cstheme="minorHAnsi"/>
                <w:sz w:val="22"/>
                <w:szCs w:val="22"/>
              </w:rPr>
              <w:t xml:space="preserve">b. A document: </w:t>
            </w:r>
          </w:p>
          <w:p w14:paraId="4BF6966E" w14:textId="77777777" w:rsidR="004E44EA" w:rsidRPr="004E44EA" w:rsidRDefault="004E44EA" w:rsidP="004E44EA">
            <w:pPr>
              <w:rPr>
                <w:rFonts w:asciiTheme="minorHAnsi" w:hAnsiTheme="minorHAnsi" w:cstheme="minorHAnsi"/>
                <w:sz w:val="22"/>
                <w:szCs w:val="22"/>
              </w:rPr>
            </w:pPr>
            <w:r w:rsidRPr="004E44EA">
              <w:rPr>
                <w:rFonts w:asciiTheme="minorHAnsi" w:hAnsiTheme="minorHAnsi" w:cstheme="minorHAnsi"/>
                <w:sz w:val="22"/>
                <w:szCs w:val="22"/>
              </w:rPr>
              <w:t xml:space="preserve">          </w:t>
            </w:r>
            <w:r w:rsidR="003E374C" w:rsidRPr="004E44EA">
              <w:rPr>
                <w:rFonts w:asciiTheme="minorHAnsi" w:hAnsiTheme="minorHAnsi" w:cstheme="minorHAnsi"/>
                <w:sz w:val="22"/>
                <w:szCs w:val="22"/>
              </w:rPr>
              <w:t xml:space="preserve">i. Signed by an employee, agent, or volunteer of a victim service provider, an attorney, or medical professional, or a mental health professional from whom the victim has sought assistance relating to domestic violence, dating violence, sexual assault, or stalking or the effects of abuse; </w:t>
            </w:r>
          </w:p>
          <w:p w14:paraId="4DF5DDFD" w14:textId="77777777" w:rsidR="004E44EA" w:rsidRPr="004E44EA" w:rsidRDefault="004E44EA" w:rsidP="004E44EA">
            <w:pPr>
              <w:rPr>
                <w:rFonts w:asciiTheme="minorHAnsi" w:hAnsiTheme="minorHAnsi" w:cstheme="minorHAnsi"/>
                <w:sz w:val="22"/>
                <w:szCs w:val="22"/>
              </w:rPr>
            </w:pPr>
            <w:r w:rsidRPr="004E44EA">
              <w:rPr>
                <w:rFonts w:asciiTheme="minorHAnsi" w:hAnsiTheme="minorHAnsi" w:cstheme="minorHAnsi"/>
                <w:sz w:val="22"/>
                <w:szCs w:val="22"/>
              </w:rPr>
              <w:t xml:space="preserve">          </w:t>
            </w:r>
            <w:r w:rsidR="003E374C" w:rsidRPr="004E44EA">
              <w:rPr>
                <w:rFonts w:asciiTheme="minorHAnsi" w:hAnsiTheme="minorHAnsi" w:cstheme="minorHAnsi"/>
                <w:sz w:val="22"/>
                <w:szCs w:val="22"/>
              </w:rPr>
              <w:t xml:space="preserve">ii. Signed by the applicant or tenant; and </w:t>
            </w:r>
          </w:p>
          <w:p w14:paraId="6C521F8E" w14:textId="77777777" w:rsidR="004E44EA" w:rsidRPr="004E44EA" w:rsidRDefault="004E44EA" w:rsidP="004E44EA">
            <w:pPr>
              <w:rPr>
                <w:rFonts w:asciiTheme="minorHAnsi" w:hAnsiTheme="minorHAnsi" w:cstheme="minorHAnsi"/>
                <w:sz w:val="22"/>
                <w:szCs w:val="22"/>
              </w:rPr>
            </w:pPr>
            <w:r w:rsidRPr="004E44EA">
              <w:rPr>
                <w:rFonts w:asciiTheme="minorHAnsi" w:hAnsiTheme="minorHAnsi" w:cstheme="minorHAnsi"/>
                <w:sz w:val="22"/>
                <w:szCs w:val="22"/>
              </w:rPr>
              <w:t xml:space="preserve">          </w:t>
            </w:r>
            <w:r w:rsidR="003E374C" w:rsidRPr="004E44EA">
              <w:rPr>
                <w:rFonts w:asciiTheme="minorHAnsi" w:hAnsiTheme="minorHAnsi" w:cstheme="minorHAnsi"/>
                <w:sz w:val="22"/>
                <w:szCs w:val="22"/>
              </w:rPr>
              <w:t xml:space="preserve">iii. That specifies, under penalty of perjury, that the professional believes in the occurrence of the incident of domestic violence, dating violence, sexual assault, or stalking that is the ground for protection and that the incident meets the applicable definition of domestic violence, dating violence, sexual assault, or stalking (see glossary); or </w:t>
            </w:r>
          </w:p>
          <w:p w14:paraId="259172F7" w14:textId="77777777" w:rsidR="004E44EA" w:rsidRPr="004E44EA" w:rsidRDefault="004E44EA" w:rsidP="004E44EA">
            <w:pPr>
              <w:rPr>
                <w:rFonts w:asciiTheme="minorHAnsi" w:hAnsiTheme="minorHAnsi" w:cstheme="minorHAnsi"/>
                <w:sz w:val="22"/>
                <w:szCs w:val="22"/>
              </w:rPr>
            </w:pPr>
            <w:r w:rsidRPr="004E44EA">
              <w:rPr>
                <w:rFonts w:asciiTheme="minorHAnsi" w:hAnsiTheme="minorHAnsi" w:cstheme="minorHAnsi"/>
                <w:sz w:val="22"/>
                <w:szCs w:val="22"/>
              </w:rPr>
              <w:t xml:space="preserve">     </w:t>
            </w:r>
            <w:r w:rsidR="003E374C" w:rsidRPr="004E44EA">
              <w:rPr>
                <w:rFonts w:asciiTheme="minorHAnsi" w:hAnsiTheme="minorHAnsi" w:cstheme="minorHAnsi"/>
                <w:sz w:val="22"/>
                <w:szCs w:val="22"/>
              </w:rPr>
              <w:t xml:space="preserve">c. A record of a Federal, State, tribal or territorial or local law enforcement agency, court or administrative agency; or </w:t>
            </w:r>
          </w:p>
          <w:p w14:paraId="57F42241" w14:textId="77777777" w:rsidR="004E44EA" w:rsidRPr="004E44EA" w:rsidRDefault="004E44EA" w:rsidP="004E44EA">
            <w:pPr>
              <w:rPr>
                <w:rFonts w:asciiTheme="minorHAnsi" w:hAnsiTheme="minorHAnsi" w:cstheme="minorHAnsi"/>
                <w:sz w:val="22"/>
                <w:szCs w:val="22"/>
              </w:rPr>
            </w:pPr>
            <w:r w:rsidRPr="004E44EA">
              <w:rPr>
                <w:rFonts w:asciiTheme="minorHAnsi" w:hAnsiTheme="minorHAnsi" w:cstheme="minorHAnsi"/>
                <w:sz w:val="22"/>
                <w:szCs w:val="22"/>
              </w:rPr>
              <w:t xml:space="preserve">     </w:t>
            </w:r>
            <w:r w:rsidR="003E374C" w:rsidRPr="004E44EA">
              <w:rPr>
                <w:rFonts w:asciiTheme="minorHAnsi" w:hAnsiTheme="minorHAnsi" w:cstheme="minorHAnsi"/>
                <w:sz w:val="22"/>
                <w:szCs w:val="22"/>
              </w:rPr>
              <w:t xml:space="preserve">d. A statement or other evidence provided by the applicant or tenant. </w:t>
            </w:r>
          </w:p>
          <w:p w14:paraId="4BD2FE1D" w14:textId="77777777" w:rsidR="003E374C" w:rsidRPr="004E44EA" w:rsidRDefault="003E374C" w:rsidP="004E44EA">
            <w:pPr>
              <w:rPr>
                <w:rFonts w:asciiTheme="minorHAnsi" w:hAnsiTheme="minorHAnsi" w:cstheme="minorHAnsi"/>
                <w:sz w:val="22"/>
                <w:szCs w:val="22"/>
              </w:rPr>
            </w:pPr>
            <w:r w:rsidRPr="004E44EA">
              <w:rPr>
                <w:rFonts w:asciiTheme="minorHAnsi" w:hAnsiTheme="minorHAnsi" w:cstheme="minorHAnsi"/>
                <w:sz w:val="22"/>
                <w:szCs w:val="22"/>
              </w:rPr>
              <w:t>If the housing provider receives documentation that contains conflicting information, the housing provider may require third-party documentation be obtained within thirty days of the request for third-party documentation. Conflicting information cannot be the result of the housing provider’s own personal biases or stereotypes about survivors. The housing provider may deny the emergency transfer request if documentation has not been provided. Participants are entitled to written notice of denials of emergency transfer requests that include specific grounds for denial, information on their right to grieve the denial, and a copy of the grievance process. 24 CFR 5.2007</w:t>
            </w:r>
          </w:p>
        </w:tc>
        <w:tc>
          <w:tcPr>
            <w:tcW w:w="529" w:type="dxa"/>
          </w:tcPr>
          <w:p w14:paraId="786B8AF4" w14:textId="77777777" w:rsidR="003E374C" w:rsidRPr="00ED1B9C" w:rsidRDefault="003E374C">
            <w:pPr>
              <w:rPr>
                <w:rFonts w:asciiTheme="minorHAnsi" w:hAnsiTheme="minorHAnsi"/>
                <w:sz w:val="20"/>
                <w:szCs w:val="20"/>
              </w:rPr>
            </w:pPr>
          </w:p>
        </w:tc>
        <w:tc>
          <w:tcPr>
            <w:tcW w:w="538" w:type="dxa"/>
          </w:tcPr>
          <w:p w14:paraId="50BEAC79" w14:textId="77777777" w:rsidR="003E374C" w:rsidRPr="00ED1B9C" w:rsidRDefault="003E374C">
            <w:pPr>
              <w:rPr>
                <w:rFonts w:asciiTheme="minorHAnsi" w:hAnsiTheme="minorHAnsi"/>
                <w:sz w:val="20"/>
                <w:szCs w:val="20"/>
              </w:rPr>
            </w:pPr>
          </w:p>
        </w:tc>
        <w:tc>
          <w:tcPr>
            <w:tcW w:w="2329" w:type="dxa"/>
          </w:tcPr>
          <w:p w14:paraId="3DEB8549" w14:textId="77777777" w:rsidR="003E374C" w:rsidRPr="00ED1B9C" w:rsidRDefault="003E374C">
            <w:pPr>
              <w:rPr>
                <w:rFonts w:asciiTheme="minorHAnsi" w:hAnsiTheme="minorHAnsi"/>
                <w:sz w:val="20"/>
                <w:szCs w:val="20"/>
              </w:rPr>
            </w:pPr>
          </w:p>
        </w:tc>
      </w:tr>
      <w:tr w:rsidR="003E374C" w:rsidRPr="00ED1B9C" w14:paraId="60BA96F8" w14:textId="77777777" w:rsidTr="002F5E2E">
        <w:trPr>
          <w:trHeight w:val="301"/>
        </w:trPr>
        <w:tc>
          <w:tcPr>
            <w:tcW w:w="7759" w:type="dxa"/>
          </w:tcPr>
          <w:p w14:paraId="31DDAC5E" w14:textId="77777777" w:rsidR="003E374C" w:rsidRPr="004E44EA" w:rsidRDefault="003E374C">
            <w:pPr>
              <w:rPr>
                <w:rFonts w:asciiTheme="minorHAnsi" w:hAnsiTheme="minorHAnsi" w:cstheme="minorHAnsi"/>
                <w:sz w:val="22"/>
                <w:szCs w:val="22"/>
              </w:rPr>
            </w:pPr>
            <w:r w:rsidRPr="004E44EA">
              <w:rPr>
                <w:rFonts w:asciiTheme="minorHAnsi" w:hAnsiTheme="minorHAnsi" w:cstheme="minorHAnsi"/>
                <w:sz w:val="22"/>
                <w:szCs w:val="22"/>
              </w:rPr>
              <w:t>17. Housing providers cannot place a limit on the number of emergency transfer requests made by a participant.</w:t>
            </w:r>
          </w:p>
        </w:tc>
        <w:tc>
          <w:tcPr>
            <w:tcW w:w="529" w:type="dxa"/>
          </w:tcPr>
          <w:p w14:paraId="202A5716" w14:textId="77777777" w:rsidR="003E374C" w:rsidRPr="00ED1B9C" w:rsidRDefault="003E374C">
            <w:pPr>
              <w:rPr>
                <w:rFonts w:asciiTheme="minorHAnsi" w:hAnsiTheme="minorHAnsi"/>
                <w:sz w:val="20"/>
                <w:szCs w:val="20"/>
              </w:rPr>
            </w:pPr>
          </w:p>
        </w:tc>
        <w:tc>
          <w:tcPr>
            <w:tcW w:w="538" w:type="dxa"/>
          </w:tcPr>
          <w:p w14:paraId="135B9EAB" w14:textId="77777777" w:rsidR="003E374C" w:rsidRPr="00ED1B9C" w:rsidRDefault="003E374C">
            <w:pPr>
              <w:rPr>
                <w:rFonts w:asciiTheme="minorHAnsi" w:hAnsiTheme="minorHAnsi"/>
                <w:sz w:val="20"/>
                <w:szCs w:val="20"/>
              </w:rPr>
            </w:pPr>
          </w:p>
        </w:tc>
        <w:tc>
          <w:tcPr>
            <w:tcW w:w="2329" w:type="dxa"/>
          </w:tcPr>
          <w:p w14:paraId="3CE2B806" w14:textId="77777777" w:rsidR="003E374C" w:rsidRPr="00ED1B9C" w:rsidRDefault="003E374C">
            <w:pPr>
              <w:rPr>
                <w:rFonts w:asciiTheme="minorHAnsi" w:hAnsiTheme="minorHAnsi"/>
                <w:sz w:val="20"/>
                <w:szCs w:val="20"/>
              </w:rPr>
            </w:pPr>
          </w:p>
        </w:tc>
      </w:tr>
      <w:tr w:rsidR="003E374C" w:rsidRPr="00ED1B9C" w14:paraId="02D31ED7" w14:textId="77777777" w:rsidTr="002F5E2E">
        <w:trPr>
          <w:trHeight w:val="301"/>
        </w:trPr>
        <w:tc>
          <w:tcPr>
            <w:tcW w:w="7759" w:type="dxa"/>
          </w:tcPr>
          <w:p w14:paraId="713E8B4C" w14:textId="77777777" w:rsidR="003E374C" w:rsidRPr="004E44EA" w:rsidRDefault="003E374C">
            <w:pPr>
              <w:rPr>
                <w:rFonts w:asciiTheme="minorHAnsi" w:hAnsiTheme="minorHAnsi" w:cstheme="minorHAnsi"/>
                <w:sz w:val="22"/>
                <w:szCs w:val="22"/>
              </w:rPr>
            </w:pPr>
            <w:r w:rsidRPr="004E44EA">
              <w:rPr>
                <w:rFonts w:asciiTheme="minorHAnsi" w:hAnsiTheme="minorHAnsi" w:cstheme="minorHAnsi"/>
                <w:sz w:val="22"/>
                <w:szCs w:val="22"/>
              </w:rPr>
              <w:t>18. Housing providers must keep a record of all emergency transfers requested under this plan and the outcomes of such requests, and retain these records for a period of three years, or for a period of time specified in program regulations. Requests and outcomes of such requests must be reported to HUD and the CoC Board of Directors annually. 24 CFR 5.2005(e)(12)</w:t>
            </w:r>
          </w:p>
        </w:tc>
        <w:tc>
          <w:tcPr>
            <w:tcW w:w="529" w:type="dxa"/>
          </w:tcPr>
          <w:p w14:paraId="0772CF56" w14:textId="77777777" w:rsidR="003E374C" w:rsidRPr="00ED1B9C" w:rsidRDefault="003E374C">
            <w:pPr>
              <w:rPr>
                <w:rFonts w:asciiTheme="minorHAnsi" w:hAnsiTheme="minorHAnsi"/>
                <w:sz w:val="20"/>
                <w:szCs w:val="20"/>
              </w:rPr>
            </w:pPr>
          </w:p>
        </w:tc>
        <w:tc>
          <w:tcPr>
            <w:tcW w:w="538" w:type="dxa"/>
          </w:tcPr>
          <w:p w14:paraId="5A88B8EF" w14:textId="77777777" w:rsidR="003E374C" w:rsidRPr="00ED1B9C" w:rsidRDefault="003E374C">
            <w:pPr>
              <w:rPr>
                <w:rFonts w:asciiTheme="minorHAnsi" w:hAnsiTheme="minorHAnsi"/>
                <w:sz w:val="20"/>
                <w:szCs w:val="20"/>
              </w:rPr>
            </w:pPr>
          </w:p>
        </w:tc>
        <w:tc>
          <w:tcPr>
            <w:tcW w:w="2329" w:type="dxa"/>
          </w:tcPr>
          <w:p w14:paraId="4A2B867C" w14:textId="77777777" w:rsidR="003E374C" w:rsidRPr="00ED1B9C" w:rsidRDefault="003E374C">
            <w:pPr>
              <w:rPr>
                <w:rFonts w:asciiTheme="minorHAnsi" w:hAnsiTheme="minorHAnsi"/>
                <w:sz w:val="20"/>
                <w:szCs w:val="20"/>
              </w:rPr>
            </w:pPr>
          </w:p>
        </w:tc>
      </w:tr>
    </w:tbl>
    <w:p w14:paraId="7852BEC5" w14:textId="77777777" w:rsidR="003D6F77" w:rsidRDefault="003D6F77" w:rsidP="003D6F77">
      <w:pPr>
        <w:rPr>
          <w:rFonts w:asciiTheme="minorHAnsi" w:hAnsiTheme="minorHAnsi"/>
          <w:sz w:val="20"/>
          <w:szCs w:val="20"/>
        </w:rPr>
      </w:pPr>
    </w:p>
    <w:p w14:paraId="196D9344" w14:textId="77777777" w:rsidR="003D6F77" w:rsidRDefault="003D6F77" w:rsidP="003D6F77">
      <w:pPr>
        <w:rPr>
          <w:rFonts w:asciiTheme="minorHAnsi" w:hAnsiTheme="minorHAnsi"/>
          <w:sz w:val="20"/>
          <w:szCs w:val="20"/>
        </w:rPr>
      </w:pPr>
    </w:p>
    <w:p w14:paraId="1BB76050" w14:textId="77777777" w:rsidR="003D6F77" w:rsidRDefault="003D6F77" w:rsidP="003D6F77">
      <w:pPr>
        <w:rPr>
          <w:rFonts w:asciiTheme="minorHAnsi" w:hAnsiTheme="minorHAnsi"/>
          <w:sz w:val="20"/>
          <w:szCs w:val="20"/>
        </w:rPr>
      </w:pPr>
    </w:p>
    <w:p w14:paraId="64F690E9" w14:textId="77777777" w:rsidR="003D6F77" w:rsidRDefault="003D6F77" w:rsidP="003D6F77">
      <w:pPr>
        <w:rPr>
          <w:rFonts w:asciiTheme="minorHAnsi" w:hAnsiTheme="minorHAnsi"/>
          <w:sz w:val="20"/>
          <w:szCs w:val="20"/>
        </w:rPr>
      </w:pPr>
      <w:r>
        <w:rPr>
          <w:rFonts w:asciiTheme="minorHAnsi" w:hAnsiTheme="minorHAnsi"/>
          <w:sz w:val="20"/>
          <w:szCs w:val="20"/>
        </w:rPr>
        <w:t xml:space="preserve">Suggested Updates: </w:t>
      </w:r>
    </w:p>
    <w:p w14:paraId="62222F28" w14:textId="77777777" w:rsidR="003D6F77" w:rsidRPr="00B30318" w:rsidRDefault="003D6F77" w:rsidP="004E44EA">
      <w:pPr>
        <w:spacing w:line="480" w:lineRule="auto"/>
        <w:rPr>
          <w:rFonts w:asciiTheme="minorHAnsi" w:hAnsiTheme="minorHAnsi"/>
          <w:sz w:val="20"/>
          <w:szCs w:val="20"/>
        </w:rPr>
      </w:pPr>
      <w:r>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D6F77" w:rsidRPr="00B30318" w:rsidSect="002F5E2E">
      <w:footerReference w:type="default" r:id="rId7"/>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FF58" w14:textId="77777777" w:rsidR="002F5E2E" w:rsidRDefault="002F5E2E" w:rsidP="002F5E2E">
      <w:r>
        <w:separator/>
      </w:r>
    </w:p>
  </w:endnote>
  <w:endnote w:type="continuationSeparator" w:id="0">
    <w:p w14:paraId="6B0DD66F" w14:textId="77777777" w:rsidR="002F5E2E" w:rsidRDefault="002F5E2E" w:rsidP="002F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72C08" w14:textId="77777777" w:rsidR="002F5E2E" w:rsidRDefault="00A237EE" w:rsidP="00A237EE">
    <w:pPr>
      <w:pStyle w:val="Footer"/>
      <w:tabs>
        <w:tab w:val="center" w:pos="5544"/>
        <w:tab w:val="right" w:pos="11088"/>
      </w:tabs>
    </w:pPr>
    <w:r>
      <w:tab/>
    </w:r>
    <w:r>
      <w:tab/>
    </w:r>
    <w:sdt>
      <w:sdtPr>
        <w:id w:val="1629355035"/>
        <w:docPartObj>
          <w:docPartGallery w:val="Page Numbers (Bottom of Page)"/>
          <w:docPartUnique/>
        </w:docPartObj>
      </w:sdtPr>
      <w:sdtEndPr>
        <w:rPr>
          <w:noProof/>
        </w:rPr>
      </w:sdtEndPr>
      <w:sdtContent>
        <w:r w:rsidR="002F5E2E">
          <w:fldChar w:fldCharType="begin"/>
        </w:r>
        <w:r w:rsidR="002F5E2E">
          <w:instrText xml:space="preserve"> PAGE   \* MERGEFORMAT </w:instrText>
        </w:r>
        <w:r w:rsidR="002F5E2E">
          <w:fldChar w:fldCharType="separate"/>
        </w:r>
        <w:r w:rsidR="0002580B">
          <w:rPr>
            <w:noProof/>
          </w:rPr>
          <w:t>2</w:t>
        </w:r>
        <w:r w:rsidR="002F5E2E">
          <w:rPr>
            <w:noProof/>
          </w:rPr>
          <w:fldChar w:fldCharType="end"/>
        </w:r>
      </w:sdtContent>
    </w:sdt>
    <w:r>
      <w:rPr>
        <w:noProof/>
      </w:rPr>
      <w:tab/>
    </w:r>
    <w:r>
      <w:rPr>
        <w:noProof/>
      </w:rPr>
      <w:tab/>
    </w:r>
  </w:p>
  <w:p w14:paraId="5F0111F6" w14:textId="3FDDD7AD" w:rsidR="002F5E2E" w:rsidRDefault="0002580B" w:rsidP="00A237EE">
    <w:pPr>
      <w:pStyle w:val="Footer"/>
      <w:jc w:val="right"/>
    </w:pPr>
    <w:r>
      <w:t>1/24/2</w:t>
    </w:r>
    <w:r w:rsidR="005D460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6F50" w14:textId="77777777" w:rsidR="002F5E2E" w:rsidRDefault="002F5E2E" w:rsidP="002F5E2E">
      <w:r>
        <w:separator/>
      </w:r>
    </w:p>
  </w:footnote>
  <w:footnote w:type="continuationSeparator" w:id="0">
    <w:p w14:paraId="19906B4C" w14:textId="77777777" w:rsidR="002F5E2E" w:rsidRDefault="002F5E2E" w:rsidP="002F5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BE4"/>
    <w:multiLevelType w:val="hybridMultilevel"/>
    <w:tmpl w:val="7D802BA6"/>
    <w:lvl w:ilvl="0" w:tplc="EE561978">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794B"/>
    <w:multiLevelType w:val="hybridMultilevel"/>
    <w:tmpl w:val="FC5A992C"/>
    <w:lvl w:ilvl="0" w:tplc="C706C2A0">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A10E2"/>
    <w:multiLevelType w:val="hybridMultilevel"/>
    <w:tmpl w:val="C6427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316FE"/>
    <w:multiLevelType w:val="hybridMultilevel"/>
    <w:tmpl w:val="A02E90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CD3221"/>
    <w:multiLevelType w:val="hybridMultilevel"/>
    <w:tmpl w:val="C72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A1C54"/>
    <w:multiLevelType w:val="hybridMultilevel"/>
    <w:tmpl w:val="E4BA6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1B00CC"/>
    <w:multiLevelType w:val="hybridMultilevel"/>
    <w:tmpl w:val="B8948102"/>
    <w:lvl w:ilvl="0" w:tplc="D7BA755C">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6F026D"/>
    <w:multiLevelType w:val="hybridMultilevel"/>
    <w:tmpl w:val="98045D2C"/>
    <w:lvl w:ilvl="0" w:tplc="C19E7B1E">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B4113"/>
    <w:multiLevelType w:val="hybridMultilevel"/>
    <w:tmpl w:val="004A7A84"/>
    <w:lvl w:ilvl="0" w:tplc="9398B07A">
      <w:start w:val="1"/>
      <w:numFmt w:val="bullet"/>
      <w:lvlText w:val=""/>
      <w:lvlJc w:val="left"/>
      <w:pPr>
        <w:ind w:left="720" w:hanging="360"/>
      </w:pPr>
      <w:rPr>
        <w:rFonts w:ascii="Symbol" w:hAnsi="Symbol"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DB796F"/>
    <w:multiLevelType w:val="hybridMultilevel"/>
    <w:tmpl w:val="B4746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D57C6"/>
    <w:multiLevelType w:val="hybridMultilevel"/>
    <w:tmpl w:val="066237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A967ED"/>
    <w:multiLevelType w:val="hybridMultilevel"/>
    <w:tmpl w:val="556A3332"/>
    <w:lvl w:ilvl="0" w:tplc="75E433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A1695E"/>
    <w:multiLevelType w:val="hybridMultilevel"/>
    <w:tmpl w:val="C55A9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B5883"/>
    <w:multiLevelType w:val="hybridMultilevel"/>
    <w:tmpl w:val="C130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8982645">
    <w:abstractNumId w:val="4"/>
  </w:num>
  <w:num w:numId="2" w16cid:durableId="1346977687">
    <w:abstractNumId w:val="9"/>
  </w:num>
  <w:num w:numId="3" w16cid:durableId="632561097">
    <w:abstractNumId w:val="2"/>
  </w:num>
  <w:num w:numId="4" w16cid:durableId="516696947">
    <w:abstractNumId w:val="7"/>
  </w:num>
  <w:num w:numId="5" w16cid:durableId="1812676961">
    <w:abstractNumId w:val="0"/>
  </w:num>
  <w:num w:numId="6" w16cid:durableId="1169714324">
    <w:abstractNumId w:val="11"/>
  </w:num>
  <w:num w:numId="7" w16cid:durableId="650408915">
    <w:abstractNumId w:val="8"/>
  </w:num>
  <w:num w:numId="8" w16cid:durableId="2046906971">
    <w:abstractNumId w:val="13"/>
  </w:num>
  <w:num w:numId="9" w16cid:durableId="2076662763">
    <w:abstractNumId w:val="5"/>
  </w:num>
  <w:num w:numId="10" w16cid:durableId="1995915272">
    <w:abstractNumId w:val="12"/>
  </w:num>
  <w:num w:numId="11" w16cid:durableId="238171850">
    <w:abstractNumId w:val="6"/>
  </w:num>
  <w:num w:numId="12" w16cid:durableId="1524901506">
    <w:abstractNumId w:val="1"/>
  </w:num>
  <w:num w:numId="13" w16cid:durableId="1656761158">
    <w:abstractNumId w:val="3"/>
  </w:num>
  <w:num w:numId="14" w16cid:durableId="15699924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9"/>
    <w:rsid w:val="0002580B"/>
    <w:rsid w:val="00074A55"/>
    <w:rsid w:val="00102DCF"/>
    <w:rsid w:val="001D58CC"/>
    <w:rsid w:val="002F5E2E"/>
    <w:rsid w:val="003D6F77"/>
    <w:rsid w:val="003E374C"/>
    <w:rsid w:val="004214C4"/>
    <w:rsid w:val="004573F7"/>
    <w:rsid w:val="004B135B"/>
    <w:rsid w:val="004E44EA"/>
    <w:rsid w:val="004F7B4B"/>
    <w:rsid w:val="00502FE3"/>
    <w:rsid w:val="00573D37"/>
    <w:rsid w:val="00583A59"/>
    <w:rsid w:val="005D4606"/>
    <w:rsid w:val="005D62EE"/>
    <w:rsid w:val="00725ED6"/>
    <w:rsid w:val="007270FE"/>
    <w:rsid w:val="00745487"/>
    <w:rsid w:val="00780B5D"/>
    <w:rsid w:val="00800DBC"/>
    <w:rsid w:val="008011DC"/>
    <w:rsid w:val="00915DEF"/>
    <w:rsid w:val="0094340B"/>
    <w:rsid w:val="009D1475"/>
    <w:rsid w:val="00A237EE"/>
    <w:rsid w:val="00B02DB0"/>
    <w:rsid w:val="00B30318"/>
    <w:rsid w:val="00B728B0"/>
    <w:rsid w:val="00C17A1E"/>
    <w:rsid w:val="00CA0D7B"/>
    <w:rsid w:val="00D10A6F"/>
    <w:rsid w:val="00E06C3A"/>
    <w:rsid w:val="00E41438"/>
    <w:rsid w:val="00E43D95"/>
    <w:rsid w:val="00ED1B9C"/>
    <w:rsid w:val="00EF4050"/>
    <w:rsid w:val="00F2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8C618"/>
  <w15:chartTrackingRefBased/>
  <w15:docId w15:val="{76BC7F82-DD2E-4E03-ACF5-19436713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55"/>
    <w:rPr>
      <w:sz w:val="24"/>
      <w:szCs w:val="24"/>
    </w:rPr>
  </w:style>
  <w:style w:type="paragraph" w:styleId="Heading2">
    <w:name w:val="heading 2"/>
    <w:basedOn w:val="Normal"/>
    <w:next w:val="Normal"/>
    <w:link w:val="Heading2Char"/>
    <w:uiPriority w:val="9"/>
    <w:unhideWhenUsed/>
    <w:qFormat/>
    <w:rsid w:val="00B02DB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line="276" w:lineRule="auto"/>
      <w:outlineLvl w:val="1"/>
    </w:pPr>
    <w:rPr>
      <w:rFonts w:asciiTheme="minorHAnsi" w:eastAsiaTheme="minorEastAsia" w:hAnsiTheme="minorHAnsi" w:cstheme="minorBidi"/>
      <w:b/>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FE3"/>
    <w:pPr>
      <w:spacing w:before="100"/>
    </w:pPr>
    <w:rPr>
      <w:rFonts w:asciiTheme="minorHAnsi" w:eastAsiaTheme="minorEastAsia" w:hAnsiTheme="minorHAnsi" w:cstheme="minorBidi"/>
    </w:rPr>
  </w:style>
  <w:style w:type="character" w:customStyle="1" w:styleId="Heading2Char">
    <w:name w:val="Heading 2 Char"/>
    <w:basedOn w:val="DefaultParagraphFont"/>
    <w:link w:val="Heading2"/>
    <w:uiPriority w:val="9"/>
    <w:rsid w:val="00B02DB0"/>
    <w:rPr>
      <w:rFonts w:asciiTheme="minorHAnsi" w:eastAsiaTheme="minorEastAsia" w:hAnsiTheme="minorHAnsi" w:cstheme="minorBidi"/>
      <w:b/>
      <w:caps/>
      <w:spacing w:val="15"/>
      <w:shd w:val="clear" w:color="auto" w:fill="DBE5F1" w:themeFill="accent1" w:themeFillTint="33"/>
    </w:rPr>
  </w:style>
  <w:style w:type="paragraph" w:styleId="ListParagraph">
    <w:name w:val="List Paragraph"/>
    <w:basedOn w:val="Normal"/>
    <w:uiPriority w:val="34"/>
    <w:qFormat/>
    <w:rsid w:val="00D10A6F"/>
    <w:pPr>
      <w:spacing w:before="100" w:after="200" w:line="276" w:lineRule="auto"/>
      <w:ind w:left="720"/>
      <w:contextualSpacing/>
    </w:pPr>
    <w:rPr>
      <w:rFonts w:asciiTheme="minorHAnsi" w:eastAsiaTheme="minorEastAsia" w:hAnsiTheme="minorHAnsi" w:cstheme="minorBidi"/>
      <w:sz w:val="20"/>
      <w:szCs w:val="20"/>
    </w:rPr>
  </w:style>
  <w:style w:type="paragraph" w:styleId="Header">
    <w:name w:val="header"/>
    <w:basedOn w:val="Normal"/>
    <w:link w:val="HeaderChar"/>
    <w:uiPriority w:val="99"/>
    <w:unhideWhenUsed/>
    <w:rsid w:val="002F5E2E"/>
    <w:pPr>
      <w:tabs>
        <w:tab w:val="center" w:pos="4680"/>
        <w:tab w:val="right" w:pos="9360"/>
      </w:tabs>
    </w:pPr>
  </w:style>
  <w:style w:type="character" w:customStyle="1" w:styleId="HeaderChar">
    <w:name w:val="Header Char"/>
    <w:basedOn w:val="DefaultParagraphFont"/>
    <w:link w:val="Header"/>
    <w:uiPriority w:val="99"/>
    <w:rsid w:val="002F5E2E"/>
    <w:rPr>
      <w:sz w:val="24"/>
      <w:szCs w:val="24"/>
    </w:rPr>
  </w:style>
  <w:style w:type="paragraph" w:styleId="Footer">
    <w:name w:val="footer"/>
    <w:basedOn w:val="Normal"/>
    <w:link w:val="FooterChar"/>
    <w:uiPriority w:val="99"/>
    <w:unhideWhenUsed/>
    <w:rsid w:val="002F5E2E"/>
    <w:pPr>
      <w:tabs>
        <w:tab w:val="center" w:pos="4680"/>
        <w:tab w:val="right" w:pos="9360"/>
      </w:tabs>
    </w:pPr>
  </w:style>
  <w:style w:type="character" w:customStyle="1" w:styleId="FooterChar">
    <w:name w:val="Footer Char"/>
    <w:basedOn w:val="DefaultParagraphFont"/>
    <w:link w:val="Footer"/>
    <w:uiPriority w:val="99"/>
    <w:rsid w:val="002F5E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1513</Words>
  <Characters>8986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cdsl</dc:creator>
  <cp:keywords/>
  <dc:description/>
  <cp:lastModifiedBy>Kopp Mueller, Torrie</cp:lastModifiedBy>
  <cp:revision>10</cp:revision>
  <dcterms:created xsi:type="dcterms:W3CDTF">2019-12-20T15:44:00Z</dcterms:created>
  <dcterms:modified xsi:type="dcterms:W3CDTF">2024-01-24T19:45:00Z</dcterms:modified>
</cp:coreProperties>
</file>